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785C" w14:textId="5C381E3E" w:rsidR="00AD0F59" w:rsidRPr="005F2F59" w:rsidRDefault="00737853" w:rsidP="005F2F59">
      <w:pPr>
        <w:shd w:val="clear" w:color="auto" w:fill="FFFFFF"/>
        <w:jc w:val="center"/>
        <w:textAlignment w:val="baseline"/>
        <w:rPr>
          <w:b/>
          <w:bCs/>
          <w:color w:val="000000"/>
          <w:sz w:val="28"/>
          <w:szCs w:val="28"/>
          <w:lang w:eastAsia="fr-CA"/>
        </w:rPr>
      </w:pPr>
      <w:bookmarkStart w:id="0" w:name="_GoBack"/>
      <w:bookmarkEnd w:id="0"/>
      <w:r w:rsidRPr="005F2F59">
        <w:rPr>
          <w:b/>
          <w:bCs/>
          <w:color w:val="000000"/>
          <w:sz w:val="28"/>
          <w:szCs w:val="28"/>
          <w:lang w:eastAsia="fr-CA"/>
        </w:rPr>
        <w:t>L</w:t>
      </w:r>
      <w:r w:rsidR="00AD0F59" w:rsidRPr="005F2F59">
        <w:rPr>
          <w:b/>
          <w:bCs/>
          <w:color w:val="000000"/>
          <w:sz w:val="28"/>
          <w:szCs w:val="28"/>
          <w:lang w:eastAsia="fr-CA"/>
        </w:rPr>
        <w:t>’</w:t>
      </w:r>
      <w:r w:rsidRPr="005F2F59">
        <w:rPr>
          <w:b/>
          <w:bCs/>
          <w:color w:val="000000"/>
          <w:sz w:val="28"/>
          <w:szCs w:val="28"/>
          <w:lang w:eastAsia="fr-CA"/>
        </w:rPr>
        <w:t>ind</w:t>
      </w:r>
      <w:r w:rsidR="00AD0F59" w:rsidRPr="005F2F59">
        <w:rPr>
          <w:b/>
          <w:bCs/>
          <w:color w:val="000000"/>
          <w:sz w:val="28"/>
          <w:szCs w:val="28"/>
          <w:lang w:eastAsia="fr-CA"/>
        </w:rPr>
        <w:t>e</w:t>
      </w:r>
      <w:r w:rsidRPr="005F2F59">
        <w:rPr>
          <w:b/>
          <w:bCs/>
          <w:color w:val="000000"/>
          <w:sz w:val="28"/>
          <w:szCs w:val="28"/>
          <w:lang w:eastAsia="fr-CA"/>
        </w:rPr>
        <w:t>xation du R</w:t>
      </w:r>
      <w:r w:rsidR="00FF6462" w:rsidRPr="005F2F59">
        <w:rPr>
          <w:b/>
          <w:bCs/>
          <w:color w:val="000000"/>
          <w:sz w:val="28"/>
          <w:szCs w:val="28"/>
          <w:lang w:eastAsia="fr-CA"/>
        </w:rPr>
        <w:t>R</w:t>
      </w:r>
      <w:r w:rsidRPr="005F2F59">
        <w:rPr>
          <w:b/>
          <w:bCs/>
          <w:color w:val="000000"/>
          <w:sz w:val="28"/>
          <w:szCs w:val="28"/>
          <w:lang w:eastAsia="fr-CA"/>
        </w:rPr>
        <w:t xml:space="preserve">EGOP en </w:t>
      </w:r>
      <w:r w:rsidR="00AD0F59" w:rsidRPr="005F2F59">
        <w:rPr>
          <w:b/>
          <w:bCs/>
          <w:color w:val="000000"/>
          <w:sz w:val="28"/>
          <w:szCs w:val="28"/>
          <w:lang w:eastAsia="fr-CA"/>
        </w:rPr>
        <w:t>2024</w:t>
      </w:r>
    </w:p>
    <w:p w14:paraId="55AB97CC" w14:textId="77777777" w:rsidR="00AD0F59" w:rsidRPr="00D16196" w:rsidRDefault="00AD0F59" w:rsidP="0040377E">
      <w:pPr>
        <w:shd w:val="clear" w:color="auto" w:fill="FFFFFF"/>
        <w:textAlignment w:val="baseline"/>
        <w:rPr>
          <w:b/>
          <w:bCs/>
          <w:color w:val="000000"/>
          <w:sz w:val="24"/>
          <w:szCs w:val="24"/>
          <w:lang w:eastAsia="fr-CA"/>
        </w:rPr>
      </w:pPr>
    </w:p>
    <w:p w14:paraId="13A607B7" w14:textId="0CAAAB21" w:rsidR="008B5FB3" w:rsidRPr="00D16196" w:rsidRDefault="005547EE" w:rsidP="0040377E">
      <w:pPr>
        <w:shd w:val="clear" w:color="auto" w:fill="FFFFFF"/>
        <w:textAlignment w:val="baseline"/>
        <w:rPr>
          <w:b/>
          <w:bCs/>
          <w:color w:val="000000"/>
          <w:sz w:val="24"/>
          <w:szCs w:val="24"/>
          <w:lang w:eastAsia="fr-CA"/>
        </w:rPr>
      </w:pPr>
      <w:r w:rsidRPr="00D16196">
        <w:rPr>
          <w:b/>
          <w:bCs/>
          <w:color w:val="000000"/>
          <w:sz w:val="24"/>
          <w:szCs w:val="24"/>
          <w:lang w:eastAsia="fr-CA"/>
        </w:rPr>
        <w:t>En plus de l’indexation régulière, u</w:t>
      </w:r>
      <w:r w:rsidR="005F09BC" w:rsidRPr="00D16196">
        <w:rPr>
          <w:b/>
          <w:bCs/>
          <w:color w:val="000000"/>
          <w:sz w:val="24"/>
          <w:szCs w:val="24"/>
          <w:lang w:eastAsia="fr-CA"/>
        </w:rPr>
        <w:t xml:space="preserve">ne indexation </w:t>
      </w:r>
      <w:r w:rsidR="000A2C59" w:rsidRPr="00D16196">
        <w:rPr>
          <w:b/>
          <w:bCs/>
          <w:color w:val="000000"/>
          <w:sz w:val="24"/>
          <w:szCs w:val="24"/>
          <w:lang w:eastAsia="fr-CA"/>
        </w:rPr>
        <w:t>additionnelle</w:t>
      </w:r>
      <w:r w:rsidR="00370DBA" w:rsidRPr="00D16196">
        <w:rPr>
          <w:b/>
          <w:bCs/>
          <w:color w:val="000000"/>
          <w:sz w:val="24"/>
          <w:szCs w:val="24"/>
          <w:lang w:eastAsia="fr-CA"/>
        </w:rPr>
        <w:t xml:space="preserve"> sera versée pour les années </w:t>
      </w:r>
      <w:r w:rsidR="00286345" w:rsidRPr="00D16196">
        <w:rPr>
          <w:b/>
          <w:bCs/>
          <w:color w:val="000000"/>
          <w:sz w:val="24"/>
          <w:szCs w:val="24"/>
          <w:lang w:eastAsia="fr-CA"/>
        </w:rPr>
        <w:t xml:space="preserve">cotisées entre </w:t>
      </w:r>
      <w:r w:rsidR="00370DBA" w:rsidRPr="00D16196">
        <w:rPr>
          <w:b/>
          <w:bCs/>
          <w:color w:val="000000"/>
          <w:sz w:val="24"/>
          <w:szCs w:val="24"/>
          <w:lang w:eastAsia="fr-CA"/>
        </w:rPr>
        <w:t xml:space="preserve">1982 </w:t>
      </w:r>
      <w:r w:rsidR="00E70275">
        <w:rPr>
          <w:b/>
          <w:bCs/>
          <w:color w:val="000000"/>
          <w:sz w:val="24"/>
          <w:szCs w:val="24"/>
          <w:lang w:eastAsia="fr-CA"/>
        </w:rPr>
        <w:t>et</w:t>
      </w:r>
      <w:r w:rsidR="00E70275" w:rsidRPr="00D16196">
        <w:rPr>
          <w:b/>
          <w:bCs/>
          <w:color w:val="000000"/>
          <w:sz w:val="24"/>
          <w:szCs w:val="24"/>
          <w:lang w:eastAsia="fr-CA"/>
        </w:rPr>
        <w:t xml:space="preserve"> </w:t>
      </w:r>
      <w:r w:rsidR="00370DBA" w:rsidRPr="00D16196">
        <w:rPr>
          <w:b/>
          <w:bCs/>
          <w:color w:val="000000"/>
          <w:sz w:val="24"/>
          <w:szCs w:val="24"/>
          <w:lang w:eastAsia="fr-CA"/>
        </w:rPr>
        <w:t>1999</w:t>
      </w:r>
      <w:r w:rsidRPr="00D16196">
        <w:rPr>
          <w:b/>
          <w:bCs/>
          <w:color w:val="000000"/>
          <w:sz w:val="24"/>
          <w:szCs w:val="24"/>
          <w:lang w:eastAsia="fr-CA"/>
        </w:rPr>
        <w:t>.</w:t>
      </w:r>
      <w:r w:rsidR="00370DBA" w:rsidRPr="00D16196">
        <w:rPr>
          <w:b/>
          <w:bCs/>
          <w:color w:val="000000"/>
          <w:sz w:val="24"/>
          <w:szCs w:val="24"/>
          <w:lang w:eastAsia="fr-CA"/>
        </w:rPr>
        <w:t> </w:t>
      </w:r>
    </w:p>
    <w:p w14:paraId="60A6A86E" w14:textId="77777777" w:rsidR="002E18C9" w:rsidRPr="00D16196" w:rsidRDefault="002E18C9" w:rsidP="0040377E">
      <w:pPr>
        <w:shd w:val="clear" w:color="auto" w:fill="FFFFFF"/>
        <w:textAlignment w:val="baseline"/>
        <w:rPr>
          <w:color w:val="000000"/>
          <w:sz w:val="24"/>
          <w:szCs w:val="24"/>
          <w:lang w:eastAsia="fr-CA"/>
        </w:rPr>
      </w:pPr>
    </w:p>
    <w:p w14:paraId="7498612B" w14:textId="0A73DA46" w:rsidR="002E18C9" w:rsidRPr="00D16196" w:rsidRDefault="002E18C9" w:rsidP="0040377E">
      <w:pPr>
        <w:shd w:val="clear" w:color="auto" w:fill="FFFFFF"/>
        <w:textAlignment w:val="baseline"/>
        <w:rPr>
          <w:color w:val="000000"/>
          <w:sz w:val="24"/>
          <w:szCs w:val="24"/>
          <w:lang w:eastAsia="fr-CA"/>
        </w:rPr>
      </w:pPr>
      <w:r w:rsidRPr="00D16196">
        <w:rPr>
          <w:color w:val="000000"/>
          <w:sz w:val="24"/>
          <w:szCs w:val="24"/>
          <w:lang w:eastAsia="fr-CA"/>
        </w:rPr>
        <w:t>Retraite Québec vient d’annoncer le taux d’indexation qui s’appliquera au montant de la rente du régime de rentes du Québec (RRQ) à compter du 1</w:t>
      </w:r>
      <w:r w:rsidRPr="00D16196">
        <w:rPr>
          <w:color w:val="000000"/>
          <w:sz w:val="24"/>
          <w:szCs w:val="24"/>
          <w:vertAlign w:val="superscript"/>
          <w:lang w:eastAsia="fr-CA"/>
        </w:rPr>
        <w:t>er</w:t>
      </w:r>
      <w:r w:rsidRPr="00D16196">
        <w:rPr>
          <w:color w:val="000000"/>
          <w:sz w:val="24"/>
          <w:szCs w:val="24"/>
          <w:lang w:eastAsia="fr-CA"/>
        </w:rPr>
        <w:t> janvier 2024 :</w:t>
      </w:r>
      <w:r w:rsidR="0092188F" w:rsidRPr="00D16196">
        <w:rPr>
          <w:color w:val="000000"/>
          <w:sz w:val="24"/>
          <w:szCs w:val="24"/>
          <w:lang w:eastAsia="fr-CA"/>
        </w:rPr>
        <w:t xml:space="preserve"> ce tau</w:t>
      </w:r>
      <w:r w:rsidR="005547EE" w:rsidRPr="00D16196">
        <w:rPr>
          <w:color w:val="000000"/>
          <w:sz w:val="24"/>
          <w:szCs w:val="24"/>
          <w:lang w:eastAsia="fr-CA"/>
        </w:rPr>
        <w:t>x</w:t>
      </w:r>
      <w:r w:rsidR="0092188F" w:rsidRPr="00D16196">
        <w:rPr>
          <w:color w:val="000000"/>
          <w:sz w:val="24"/>
          <w:szCs w:val="24"/>
          <w:lang w:eastAsia="fr-CA"/>
        </w:rPr>
        <w:t xml:space="preserve"> est de</w:t>
      </w:r>
      <w:r w:rsidRPr="00D16196">
        <w:rPr>
          <w:color w:val="000000"/>
          <w:sz w:val="24"/>
          <w:szCs w:val="24"/>
          <w:lang w:eastAsia="fr-CA"/>
        </w:rPr>
        <w:t> </w:t>
      </w:r>
      <w:r w:rsidR="00CA5131" w:rsidRPr="00D16196">
        <w:rPr>
          <w:b/>
          <w:bCs/>
          <w:color w:val="000000"/>
          <w:sz w:val="24"/>
          <w:szCs w:val="24"/>
          <w:bdr w:val="none" w:sz="0" w:space="0" w:color="auto" w:frame="1"/>
          <w:lang w:eastAsia="fr-CA"/>
        </w:rPr>
        <w:t>4,4</w:t>
      </w:r>
      <w:r w:rsidR="00E70275">
        <w:rPr>
          <w:b/>
          <w:bCs/>
          <w:color w:val="000000"/>
          <w:sz w:val="24"/>
          <w:szCs w:val="24"/>
          <w:bdr w:val="none" w:sz="0" w:space="0" w:color="auto" w:frame="1"/>
          <w:lang w:eastAsia="fr-CA"/>
        </w:rPr>
        <w:t> </w:t>
      </w:r>
      <w:r w:rsidR="00CA5131" w:rsidRPr="00D16196">
        <w:rPr>
          <w:b/>
          <w:bCs/>
          <w:color w:val="000000"/>
          <w:sz w:val="24"/>
          <w:szCs w:val="24"/>
          <w:bdr w:val="none" w:sz="0" w:space="0" w:color="auto" w:frame="1"/>
          <w:lang w:eastAsia="fr-CA"/>
        </w:rPr>
        <w:t>%</w:t>
      </w:r>
      <w:r w:rsidRPr="00D16196">
        <w:rPr>
          <w:color w:val="000000"/>
          <w:sz w:val="24"/>
          <w:szCs w:val="24"/>
          <w:lang w:eastAsia="fr-CA"/>
        </w:rPr>
        <w:t xml:space="preserve">. </w:t>
      </w:r>
      <w:r w:rsidR="0092188F" w:rsidRPr="00D16196">
        <w:rPr>
          <w:color w:val="000000"/>
          <w:sz w:val="24"/>
          <w:szCs w:val="24"/>
          <w:lang w:eastAsia="fr-CA"/>
        </w:rPr>
        <w:t>Il</w:t>
      </w:r>
      <w:r w:rsidRPr="00D16196">
        <w:rPr>
          <w:color w:val="000000"/>
          <w:sz w:val="24"/>
          <w:szCs w:val="24"/>
          <w:lang w:eastAsia="fr-CA"/>
        </w:rPr>
        <w:t xml:space="preserve"> a été déterminé en fonction de l’indice des prix à la consommation (IPC) de Statistique Canada pour chaque mois compris entre novembre 2022 et octobre 2023. On l’appelle aussi le taux d’augmentation de l’indice des rentes (TAIR).</w:t>
      </w:r>
    </w:p>
    <w:p w14:paraId="14D4AD54" w14:textId="77777777" w:rsidR="002E18C9" w:rsidRPr="00D16196" w:rsidRDefault="002E18C9" w:rsidP="0040377E">
      <w:pPr>
        <w:shd w:val="clear" w:color="auto" w:fill="FFFFFF"/>
        <w:textAlignment w:val="baseline"/>
        <w:rPr>
          <w:color w:val="000000"/>
          <w:sz w:val="24"/>
          <w:szCs w:val="24"/>
          <w:lang w:eastAsia="fr-CA"/>
        </w:rPr>
      </w:pPr>
    </w:p>
    <w:p w14:paraId="3E0A28FC" w14:textId="35986143" w:rsidR="002E18C9" w:rsidRPr="00D16196" w:rsidRDefault="002E18C9" w:rsidP="005F2F59">
      <w:pPr>
        <w:shd w:val="clear" w:color="auto" w:fill="FFFFFF"/>
        <w:spacing w:after="192"/>
        <w:textAlignment w:val="baseline"/>
        <w:rPr>
          <w:b/>
          <w:bCs/>
          <w:color w:val="000000"/>
          <w:sz w:val="24"/>
          <w:szCs w:val="24"/>
          <w:bdr w:val="none" w:sz="0" w:space="0" w:color="auto" w:frame="1"/>
          <w:lang w:eastAsia="fr-CA"/>
        </w:rPr>
      </w:pPr>
      <w:r w:rsidRPr="00D16196">
        <w:rPr>
          <w:b/>
          <w:bCs/>
          <w:color w:val="000000"/>
          <w:sz w:val="24"/>
          <w:szCs w:val="24"/>
          <w:bdr w:val="none" w:sz="0" w:space="0" w:color="auto" w:frame="1"/>
          <w:lang w:eastAsia="fr-CA"/>
        </w:rPr>
        <w:t xml:space="preserve">Indexation </w:t>
      </w:r>
      <w:r w:rsidR="005547EE" w:rsidRPr="00D16196">
        <w:rPr>
          <w:b/>
          <w:bCs/>
          <w:color w:val="000000"/>
          <w:sz w:val="24"/>
          <w:szCs w:val="24"/>
          <w:bdr w:val="none" w:sz="0" w:space="0" w:color="auto" w:frame="1"/>
          <w:lang w:eastAsia="fr-CA"/>
        </w:rPr>
        <w:t xml:space="preserve">régulière </w:t>
      </w:r>
      <w:r w:rsidRPr="00D16196">
        <w:rPr>
          <w:b/>
          <w:bCs/>
          <w:color w:val="000000"/>
          <w:sz w:val="24"/>
          <w:szCs w:val="24"/>
          <w:bdr w:val="none" w:sz="0" w:space="0" w:color="auto" w:frame="1"/>
          <w:lang w:eastAsia="fr-CA"/>
        </w:rPr>
        <w:t>de la rente du RREGOP en janvier 2024</w:t>
      </w:r>
    </w:p>
    <w:p w14:paraId="26D3319A" w14:textId="5A3094FA" w:rsidR="002E18C9" w:rsidRPr="00D16196" w:rsidRDefault="002E18C9" w:rsidP="0040377E">
      <w:pPr>
        <w:shd w:val="clear" w:color="auto" w:fill="FFFFFF"/>
        <w:spacing w:after="192"/>
        <w:textAlignment w:val="baseline"/>
        <w:rPr>
          <w:color w:val="000000"/>
          <w:sz w:val="24"/>
          <w:szCs w:val="24"/>
          <w:lang w:eastAsia="fr-CA"/>
        </w:rPr>
      </w:pPr>
      <w:r w:rsidRPr="00D16196">
        <w:rPr>
          <w:color w:val="000000"/>
          <w:sz w:val="24"/>
          <w:szCs w:val="24"/>
          <w:lang w:eastAsia="fr-CA"/>
        </w:rPr>
        <w:t>C’est ce</w:t>
      </w:r>
      <w:r w:rsidR="0072316C" w:rsidRPr="00D16196">
        <w:rPr>
          <w:color w:val="000000"/>
          <w:sz w:val="24"/>
          <w:szCs w:val="24"/>
          <w:lang w:eastAsia="fr-CA"/>
        </w:rPr>
        <w:t xml:space="preserve"> </w:t>
      </w:r>
      <w:r w:rsidRPr="00D16196">
        <w:rPr>
          <w:color w:val="000000"/>
          <w:sz w:val="24"/>
          <w:szCs w:val="24"/>
          <w:lang w:eastAsia="fr-CA"/>
        </w:rPr>
        <w:t xml:space="preserve">taux de </w:t>
      </w:r>
      <w:r w:rsidR="00CA5131" w:rsidRPr="00D16196">
        <w:rPr>
          <w:color w:val="000000"/>
          <w:sz w:val="24"/>
          <w:szCs w:val="24"/>
          <w:lang w:eastAsia="fr-CA"/>
        </w:rPr>
        <w:t>4,4</w:t>
      </w:r>
      <w:r w:rsidR="00E70275">
        <w:rPr>
          <w:color w:val="000000"/>
          <w:sz w:val="24"/>
          <w:szCs w:val="24"/>
          <w:lang w:eastAsia="fr-CA"/>
        </w:rPr>
        <w:t> </w:t>
      </w:r>
      <w:r w:rsidR="00CA5131" w:rsidRPr="00D16196">
        <w:rPr>
          <w:color w:val="000000"/>
          <w:sz w:val="24"/>
          <w:szCs w:val="24"/>
          <w:lang w:eastAsia="fr-CA"/>
        </w:rPr>
        <w:t>%</w:t>
      </w:r>
      <w:r w:rsidRPr="00D16196">
        <w:rPr>
          <w:color w:val="000000"/>
          <w:sz w:val="24"/>
          <w:szCs w:val="24"/>
          <w:lang w:eastAsia="fr-CA"/>
        </w:rPr>
        <w:t xml:space="preserve"> qui est utilisé pour le calcul du taux d’indexation des rentes des régimes de retraite des secteurs publics administrés par Retraite Québec, tels que le RREGOP, le RRE, le RRF</w:t>
      </w:r>
      <w:r w:rsidR="0092188F" w:rsidRPr="00D16196">
        <w:rPr>
          <w:color w:val="000000"/>
          <w:sz w:val="24"/>
          <w:szCs w:val="24"/>
          <w:lang w:eastAsia="fr-CA"/>
        </w:rPr>
        <w:t xml:space="preserve"> et</w:t>
      </w:r>
      <w:r w:rsidRPr="00D16196">
        <w:rPr>
          <w:color w:val="000000"/>
          <w:sz w:val="24"/>
          <w:szCs w:val="24"/>
          <w:lang w:eastAsia="fr-CA"/>
        </w:rPr>
        <w:t xml:space="preserve"> le RRCE. Cela s’applique également sur la rente d</w:t>
      </w:r>
      <w:r w:rsidR="0040377E" w:rsidRPr="00D16196">
        <w:rPr>
          <w:color w:val="000000"/>
          <w:sz w:val="24"/>
          <w:szCs w:val="24"/>
          <w:lang w:eastAsia="fr-CA"/>
        </w:rPr>
        <w:t>e la personne</w:t>
      </w:r>
      <w:r w:rsidRPr="00D16196">
        <w:rPr>
          <w:color w:val="000000"/>
          <w:sz w:val="24"/>
          <w:szCs w:val="24"/>
          <w:lang w:eastAsia="fr-CA"/>
        </w:rPr>
        <w:t xml:space="preserve"> conjoint</w:t>
      </w:r>
      <w:r w:rsidR="0040377E" w:rsidRPr="00D16196">
        <w:rPr>
          <w:color w:val="000000"/>
          <w:sz w:val="24"/>
          <w:szCs w:val="24"/>
          <w:lang w:eastAsia="fr-CA"/>
        </w:rPr>
        <w:t>e</w:t>
      </w:r>
      <w:r w:rsidRPr="00D16196">
        <w:rPr>
          <w:color w:val="000000"/>
          <w:sz w:val="24"/>
          <w:szCs w:val="24"/>
          <w:lang w:eastAsia="fr-CA"/>
        </w:rPr>
        <w:t xml:space="preserve"> survivant</w:t>
      </w:r>
      <w:r w:rsidR="0040377E" w:rsidRPr="00D16196">
        <w:rPr>
          <w:color w:val="000000"/>
          <w:sz w:val="24"/>
          <w:szCs w:val="24"/>
          <w:lang w:eastAsia="fr-CA"/>
        </w:rPr>
        <w:t>e</w:t>
      </w:r>
      <w:r w:rsidRPr="00D16196">
        <w:rPr>
          <w:color w:val="000000"/>
          <w:sz w:val="24"/>
          <w:szCs w:val="24"/>
          <w:lang w:eastAsia="fr-CA"/>
        </w:rPr>
        <w:t>.</w:t>
      </w:r>
    </w:p>
    <w:p w14:paraId="0F22A38F" w14:textId="1A060183" w:rsidR="002E18C9" w:rsidRPr="00D16196" w:rsidRDefault="002E18C9" w:rsidP="0040377E">
      <w:pPr>
        <w:shd w:val="clear" w:color="auto" w:fill="FFFFFF"/>
        <w:spacing w:after="192"/>
        <w:textAlignment w:val="baseline"/>
        <w:rPr>
          <w:color w:val="000000"/>
          <w:sz w:val="24"/>
          <w:szCs w:val="24"/>
          <w:lang w:eastAsia="fr-CA"/>
        </w:rPr>
      </w:pPr>
      <w:r w:rsidRPr="00D16196">
        <w:rPr>
          <w:color w:val="000000"/>
          <w:sz w:val="24"/>
          <w:szCs w:val="24"/>
          <w:lang w:eastAsia="fr-CA"/>
        </w:rPr>
        <w:t>Rappelons que trois formules sont utilisées pour le calcul de l’indexation de la rente des personnes retraitées du secteur public, en fonction des années durant lesquelles elles ont cotisé au régime. Il est possible que plus d’une formule soit utilisée pour calculer l’indexation de la rente d’une personne</w:t>
      </w:r>
      <w:r w:rsidR="00E70275">
        <w:rPr>
          <w:color w:val="000000"/>
          <w:sz w:val="24"/>
          <w:szCs w:val="24"/>
          <w:lang w:eastAsia="fr-CA"/>
        </w:rPr>
        <w:t>,</w:t>
      </w:r>
      <w:r w:rsidRPr="00D16196">
        <w:rPr>
          <w:color w:val="000000"/>
          <w:sz w:val="24"/>
          <w:szCs w:val="24"/>
          <w:lang w:eastAsia="fr-CA"/>
        </w:rPr>
        <w:t xml:space="preserve"> si celle-ci a versé des cotisations correspondant à plus d’une période.</w:t>
      </w:r>
    </w:p>
    <w:p w14:paraId="1BB25F96" w14:textId="1A83CC8D" w:rsidR="002E18C9" w:rsidRPr="00D16196" w:rsidRDefault="002E18C9" w:rsidP="0040377E">
      <w:pPr>
        <w:shd w:val="clear" w:color="auto" w:fill="FFFFFF"/>
        <w:textAlignment w:val="baseline"/>
        <w:rPr>
          <w:color w:val="000000"/>
          <w:sz w:val="24"/>
          <w:szCs w:val="24"/>
          <w:lang w:eastAsia="fr-CA"/>
        </w:rPr>
      </w:pPr>
      <w:r w:rsidRPr="00D16196">
        <w:rPr>
          <w:b/>
          <w:bCs/>
          <w:color w:val="000000"/>
          <w:sz w:val="24"/>
          <w:szCs w:val="24"/>
          <w:bdr w:val="none" w:sz="0" w:space="0" w:color="auto" w:frame="1"/>
          <w:lang w:eastAsia="fr-CA"/>
        </w:rPr>
        <w:t>Indexation</w:t>
      </w:r>
      <w:r w:rsidR="005547EE" w:rsidRPr="00D16196">
        <w:rPr>
          <w:b/>
          <w:bCs/>
          <w:color w:val="000000"/>
          <w:sz w:val="24"/>
          <w:szCs w:val="24"/>
          <w:bdr w:val="none" w:sz="0" w:space="0" w:color="auto" w:frame="1"/>
          <w:lang w:eastAsia="fr-CA"/>
        </w:rPr>
        <w:t xml:space="preserve"> régulière</w:t>
      </w:r>
      <w:r w:rsidRPr="00D16196">
        <w:rPr>
          <w:b/>
          <w:bCs/>
          <w:color w:val="000000"/>
          <w:sz w:val="24"/>
          <w:szCs w:val="24"/>
          <w:bdr w:val="none" w:sz="0" w:space="0" w:color="auto" w:frame="1"/>
          <w:lang w:eastAsia="fr-CA"/>
        </w:rPr>
        <w:t xml:space="preserve"> de la rente du RREGOP en janvier 2024</w:t>
      </w:r>
    </w:p>
    <w:tbl>
      <w:tblPr>
        <w:tblW w:w="9650" w:type="dxa"/>
        <w:shd w:val="clear" w:color="auto" w:fill="FFFFFF"/>
        <w:tblCellMar>
          <w:left w:w="0" w:type="dxa"/>
          <w:right w:w="0" w:type="dxa"/>
        </w:tblCellMar>
        <w:tblLook w:val="04A0" w:firstRow="1" w:lastRow="0" w:firstColumn="1" w:lastColumn="0" w:noHBand="0" w:noVBand="1"/>
      </w:tblPr>
      <w:tblGrid>
        <w:gridCol w:w="7241"/>
        <w:gridCol w:w="2409"/>
      </w:tblGrid>
      <w:tr w:rsidR="002E18C9" w:rsidRPr="00D16196" w14:paraId="7FF220BA" w14:textId="77777777" w:rsidTr="002E18C9">
        <w:tc>
          <w:tcPr>
            <w:tcW w:w="7241" w:type="dxa"/>
            <w:tcBorders>
              <w:top w:val="single" w:sz="8" w:space="0" w:color="CCCCCC"/>
              <w:left w:val="single" w:sz="8" w:space="0" w:color="CCCCCC"/>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2509CAAC" w14:textId="77777777" w:rsidR="002E18C9" w:rsidRPr="00D16196" w:rsidRDefault="002E18C9" w:rsidP="0040377E">
            <w:pPr>
              <w:rPr>
                <w:color w:val="000000"/>
                <w:sz w:val="24"/>
                <w:szCs w:val="24"/>
                <w:lang w:eastAsia="fr-CA"/>
              </w:rPr>
            </w:pPr>
            <w:r w:rsidRPr="00D16196">
              <w:rPr>
                <w:b/>
                <w:bCs/>
                <w:color w:val="000000"/>
                <w:sz w:val="24"/>
                <w:szCs w:val="24"/>
                <w:bdr w:val="none" w:sz="0" w:space="0" w:color="auto" w:frame="1"/>
                <w:lang w:eastAsia="fr-CA"/>
              </w:rPr>
              <w:t>Années cotisées avant le 1</w:t>
            </w:r>
            <w:r w:rsidRPr="00D16196">
              <w:rPr>
                <w:b/>
                <w:bCs/>
                <w:color w:val="000000"/>
                <w:sz w:val="24"/>
                <w:szCs w:val="24"/>
                <w:bdr w:val="none" w:sz="0" w:space="0" w:color="auto" w:frame="1"/>
                <w:vertAlign w:val="superscript"/>
                <w:lang w:eastAsia="fr-CA"/>
              </w:rPr>
              <w:t>er</w:t>
            </w:r>
            <w:r w:rsidRPr="00D16196">
              <w:rPr>
                <w:b/>
                <w:bCs/>
                <w:color w:val="000000"/>
                <w:sz w:val="24"/>
                <w:szCs w:val="24"/>
                <w:bdr w:val="none" w:sz="0" w:space="0" w:color="auto" w:frame="1"/>
                <w:lang w:eastAsia="fr-CA"/>
              </w:rPr>
              <w:t> juillet 1982 :</w:t>
            </w:r>
          </w:p>
          <w:p w14:paraId="03B0DF69" w14:textId="19895545" w:rsidR="002E18C9" w:rsidRPr="00D16196" w:rsidRDefault="002E18C9" w:rsidP="0040377E">
            <w:pPr>
              <w:textAlignment w:val="baseline"/>
              <w:rPr>
                <w:color w:val="000000"/>
                <w:sz w:val="24"/>
                <w:szCs w:val="24"/>
                <w:lang w:eastAsia="fr-CA"/>
              </w:rPr>
            </w:pPr>
            <w:r w:rsidRPr="00D16196">
              <w:rPr>
                <w:color w:val="000000"/>
                <w:sz w:val="24"/>
                <w:szCs w:val="24"/>
                <w:lang w:eastAsia="fr-CA"/>
              </w:rPr>
              <w:t>Portion de la rente indexée à 100</w:t>
            </w:r>
            <w:r w:rsidR="00E70275">
              <w:rPr>
                <w:color w:val="000000"/>
                <w:sz w:val="24"/>
                <w:szCs w:val="24"/>
                <w:lang w:eastAsia="fr-CA"/>
              </w:rPr>
              <w:t> </w:t>
            </w:r>
            <w:r w:rsidRPr="00D16196">
              <w:rPr>
                <w:color w:val="000000"/>
                <w:sz w:val="24"/>
                <w:szCs w:val="24"/>
                <w:lang w:eastAsia="fr-CA"/>
              </w:rPr>
              <w:t>% du TAIR</w:t>
            </w:r>
          </w:p>
        </w:tc>
        <w:tc>
          <w:tcPr>
            <w:tcW w:w="2409" w:type="dxa"/>
            <w:tcBorders>
              <w:top w:val="single" w:sz="8" w:space="0" w:color="CCCCCC"/>
              <w:left w:val="nil"/>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33777817" w14:textId="4499077E" w:rsidR="002E18C9" w:rsidRPr="00D16196" w:rsidRDefault="00967E63" w:rsidP="0040377E">
            <w:pPr>
              <w:rPr>
                <w:color w:val="000000"/>
                <w:sz w:val="24"/>
                <w:szCs w:val="24"/>
                <w:lang w:eastAsia="fr-CA"/>
              </w:rPr>
            </w:pPr>
            <w:r w:rsidRPr="00D16196">
              <w:rPr>
                <w:b/>
                <w:bCs/>
                <w:color w:val="000000"/>
                <w:sz w:val="24"/>
                <w:szCs w:val="24"/>
                <w:bdr w:val="none" w:sz="0" w:space="0" w:color="auto" w:frame="1"/>
                <w:lang w:eastAsia="fr-CA"/>
              </w:rPr>
              <w:t>4,4</w:t>
            </w:r>
            <w:r w:rsidR="00E70275">
              <w:rPr>
                <w:b/>
                <w:bCs/>
                <w:color w:val="000000"/>
                <w:sz w:val="24"/>
                <w:szCs w:val="24"/>
                <w:bdr w:val="none" w:sz="0" w:space="0" w:color="auto" w:frame="1"/>
                <w:lang w:eastAsia="fr-CA"/>
              </w:rPr>
              <w:t> </w:t>
            </w:r>
            <w:r w:rsidRPr="00D16196">
              <w:rPr>
                <w:b/>
                <w:bCs/>
                <w:color w:val="000000"/>
                <w:sz w:val="24"/>
                <w:szCs w:val="24"/>
                <w:bdr w:val="none" w:sz="0" w:space="0" w:color="auto" w:frame="1"/>
                <w:lang w:eastAsia="fr-CA"/>
              </w:rPr>
              <w:t>%</w:t>
            </w:r>
          </w:p>
          <w:p w14:paraId="0946E5FF" w14:textId="77777777" w:rsidR="002E18C9" w:rsidRPr="00D16196" w:rsidRDefault="002E18C9" w:rsidP="0040377E">
            <w:pPr>
              <w:textAlignment w:val="baseline"/>
              <w:rPr>
                <w:color w:val="000000"/>
                <w:sz w:val="24"/>
                <w:szCs w:val="24"/>
                <w:lang w:eastAsia="fr-CA"/>
              </w:rPr>
            </w:pPr>
            <w:r w:rsidRPr="00D16196">
              <w:rPr>
                <w:color w:val="000000"/>
                <w:sz w:val="24"/>
                <w:szCs w:val="24"/>
                <w:lang w:eastAsia="fr-CA"/>
              </w:rPr>
              <w:t>(</w:t>
            </w:r>
            <w:proofErr w:type="gramStart"/>
            <w:r w:rsidRPr="00D16196">
              <w:rPr>
                <w:color w:val="000000"/>
                <w:sz w:val="24"/>
                <w:szCs w:val="24"/>
                <w:lang w:eastAsia="fr-CA"/>
              </w:rPr>
              <w:t>soit</w:t>
            </w:r>
            <w:proofErr w:type="gramEnd"/>
            <w:r w:rsidRPr="00D16196">
              <w:rPr>
                <w:color w:val="000000"/>
                <w:sz w:val="24"/>
                <w:szCs w:val="24"/>
                <w:lang w:eastAsia="fr-CA"/>
              </w:rPr>
              <w:t xml:space="preserve"> le TAIR)</w:t>
            </w:r>
          </w:p>
        </w:tc>
      </w:tr>
      <w:tr w:rsidR="002E18C9" w:rsidRPr="00D16196" w14:paraId="2060450A" w14:textId="77777777" w:rsidTr="002E18C9">
        <w:tc>
          <w:tcPr>
            <w:tcW w:w="7241" w:type="dxa"/>
            <w:tcBorders>
              <w:top w:val="nil"/>
              <w:left w:val="single" w:sz="8" w:space="0" w:color="CCCCCC"/>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06DE8F83" w14:textId="16B71315" w:rsidR="002E18C9" w:rsidRPr="00D16196" w:rsidRDefault="002E18C9" w:rsidP="0040377E">
            <w:pPr>
              <w:rPr>
                <w:color w:val="000000"/>
                <w:sz w:val="24"/>
                <w:szCs w:val="24"/>
                <w:lang w:eastAsia="fr-CA"/>
              </w:rPr>
            </w:pPr>
            <w:r w:rsidRPr="00D16196">
              <w:rPr>
                <w:b/>
                <w:bCs/>
                <w:color w:val="000000"/>
                <w:sz w:val="24"/>
                <w:szCs w:val="24"/>
                <w:bdr w:val="none" w:sz="0" w:space="0" w:color="auto" w:frame="1"/>
                <w:lang w:eastAsia="fr-CA"/>
              </w:rPr>
              <w:t>Années cotisées entre le 1</w:t>
            </w:r>
            <w:r w:rsidRPr="00D16196">
              <w:rPr>
                <w:b/>
                <w:bCs/>
                <w:color w:val="000000"/>
                <w:sz w:val="24"/>
                <w:szCs w:val="24"/>
                <w:bdr w:val="none" w:sz="0" w:space="0" w:color="auto" w:frame="1"/>
                <w:vertAlign w:val="superscript"/>
                <w:lang w:eastAsia="fr-CA"/>
              </w:rPr>
              <w:t>er</w:t>
            </w:r>
            <w:r w:rsidRPr="00D16196">
              <w:rPr>
                <w:b/>
                <w:bCs/>
                <w:color w:val="000000"/>
                <w:sz w:val="24"/>
                <w:szCs w:val="24"/>
                <w:bdr w:val="none" w:sz="0" w:space="0" w:color="auto" w:frame="1"/>
                <w:lang w:eastAsia="fr-CA"/>
              </w:rPr>
              <w:t xml:space="preserve"> juillet 1982 et </w:t>
            </w:r>
            <w:r w:rsidR="00E70275">
              <w:rPr>
                <w:b/>
                <w:bCs/>
                <w:color w:val="000000"/>
                <w:sz w:val="24"/>
                <w:szCs w:val="24"/>
                <w:bdr w:val="none" w:sz="0" w:space="0" w:color="auto" w:frame="1"/>
                <w:lang w:eastAsia="fr-CA"/>
              </w:rPr>
              <w:t xml:space="preserve">le </w:t>
            </w:r>
            <w:r w:rsidRPr="00D16196">
              <w:rPr>
                <w:b/>
                <w:bCs/>
                <w:color w:val="000000"/>
                <w:sz w:val="24"/>
                <w:szCs w:val="24"/>
                <w:bdr w:val="none" w:sz="0" w:space="0" w:color="auto" w:frame="1"/>
                <w:lang w:eastAsia="fr-CA"/>
              </w:rPr>
              <w:t>31 décembre 1999 :</w:t>
            </w:r>
          </w:p>
          <w:p w14:paraId="23344585" w14:textId="3DC134EE" w:rsidR="002E18C9" w:rsidRPr="00D16196" w:rsidRDefault="002E18C9" w:rsidP="0040377E">
            <w:pPr>
              <w:textAlignment w:val="baseline"/>
              <w:rPr>
                <w:color w:val="000000"/>
                <w:sz w:val="24"/>
                <w:szCs w:val="24"/>
                <w:lang w:eastAsia="fr-CA"/>
              </w:rPr>
            </w:pPr>
            <w:r w:rsidRPr="00D16196">
              <w:rPr>
                <w:color w:val="000000"/>
                <w:sz w:val="24"/>
                <w:szCs w:val="24"/>
                <w:lang w:eastAsia="fr-CA"/>
              </w:rPr>
              <w:t>Portion de la rente indexée selon le TAIR – 3</w:t>
            </w:r>
            <w:r w:rsidR="00E70275">
              <w:rPr>
                <w:color w:val="000000"/>
                <w:sz w:val="24"/>
                <w:szCs w:val="24"/>
                <w:lang w:eastAsia="fr-CA"/>
              </w:rPr>
              <w:t> </w:t>
            </w:r>
            <w:r w:rsidRPr="00D16196">
              <w:rPr>
                <w:color w:val="000000"/>
                <w:sz w:val="24"/>
                <w:szCs w:val="24"/>
                <w:lang w:eastAsia="fr-CA"/>
              </w:rPr>
              <w:t>%</w:t>
            </w:r>
          </w:p>
        </w:tc>
        <w:tc>
          <w:tcPr>
            <w:tcW w:w="2409" w:type="dxa"/>
            <w:tcBorders>
              <w:top w:val="nil"/>
              <w:left w:val="nil"/>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275BCA3F" w14:textId="3818653B" w:rsidR="002E18C9" w:rsidRPr="00D16196" w:rsidRDefault="00144E5E" w:rsidP="0040377E">
            <w:pPr>
              <w:rPr>
                <w:color w:val="000000"/>
                <w:sz w:val="24"/>
                <w:szCs w:val="24"/>
                <w:lang w:eastAsia="fr-CA"/>
              </w:rPr>
            </w:pPr>
            <w:r w:rsidRPr="00D16196">
              <w:rPr>
                <w:b/>
                <w:bCs/>
                <w:color w:val="000000"/>
                <w:sz w:val="24"/>
                <w:szCs w:val="24"/>
                <w:bdr w:val="none" w:sz="0" w:space="0" w:color="auto" w:frame="1"/>
                <w:lang w:eastAsia="fr-CA"/>
              </w:rPr>
              <w:t>1,4</w:t>
            </w:r>
            <w:r w:rsidR="00E70275">
              <w:rPr>
                <w:b/>
                <w:bCs/>
                <w:color w:val="000000"/>
                <w:sz w:val="24"/>
                <w:szCs w:val="24"/>
                <w:bdr w:val="none" w:sz="0" w:space="0" w:color="auto" w:frame="1"/>
                <w:lang w:eastAsia="fr-CA"/>
              </w:rPr>
              <w:t> </w:t>
            </w:r>
            <w:r w:rsidRPr="00D16196">
              <w:rPr>
                <w:b/>
                <w:bCs/>
                <w:color w:val="000000"/>
                <w:sz w:val="24"/>
                <w:szCs w:val="24"/>
                <w:bdr w:val="none" w:sz="0" w:space="0" w:color="auto" w:frame="1"/>
                <w:lang w:eastAsia="fr-CA"/>
              </w:rPr>
              <w:t>%</w:t>
            </w:r>
          </w:p>
          <w:p w14:paraId="076A9EF1" w14:textId="1AF048F3" w:rsidR="002E18C9" w:rsidRPr="00D16196" w:rsidRDefault="002E18C9" w:rsidP="0040377E">
            <w:pPr>
              <w:textAlignment w:val="baseline"/>
              <w:rPr>
                <w:color w:val="000000"/>
                <w:sz w:val="24"/>
                <w:szCs w:val="24"/>
                <w:lang w:eastAsia="fr-CA"/>
              </w:rPr>
            </w:pPr>
            <w:r w:rsidRPr="00D16196">
              <w:rPr>
                <w:color w:val="000000"/>
                <w:sz w:val="24"/>
                <w:szCs w:val="24"/>
                <w:lang w:eastAsia="fr-CA"/>
              </w:rPr>
              <w:t>(</w:t>
            </w:r>
            <w:proofErr w:type="gramStart"/>
            <w:r w:rsidRPr="00D16196">
              <w:rPr>
                <w:color w:val="000000"/>
                <w:sz w:val="24"/>
                <w:szCs w:val="24"/>
                <w:lang w:eastAsia="fr-CA"/>
              </w:rPr>
              <w:t>soit</w:t>
            </w:r>
            <w:proofErr w:type="gramEnd"/>
            <w:r w:rsidRPr="00D16196">
              <w:rPr>
                <w:color w:val="000000"/>
                <w:sz w:val="24"/>
                <w:szCs w:val="24"/>
                <w:lang w:eastAsia="fr-CA"/>
              </w:rPr>
              <w:t xml:space="preserve"> le TAIR-3</w:t>
            </w:r>
            <w:r w:rsidR="00E70275">
              <w:rPr>
                <w:color w:val="000000"/>
                <w:sz w:val="24"/>
                <w:szCs w:val="24"/>
                <w:lang w:eastAsia="fr-CA"/>
              </w:rPr>
              <w:t> </w:t>
            </w:r>
            <w:r w:rsidRPr="00D16196">
              <w:rPr>
                <w:color w:val="000000"/>
                <w:sz w:val="24"/>
                <w:szCs w:val="24"/>
                <w:lang w:eastAsia="fr-CA"/>
              </w:rPr>
              <w:t>%)</w:t>
            </w:r>
          </w:p>
        </w:tc>
      </w:tr>
      <w:tr w:rsidR="002E18C9" w:rsidRPr="00D16196" w14:paraId="14B974D1" w14:textId="77777777" w:rsidTr="002E18C9">
        <w:tc>
          <w:tcPr>
            <w:tcW w:w="7241" w:type="dxa"/>
            <w:tcBorders>
              <w:top w:val="nil"/>
              <w:left w:val="single" w:sz="8" w:space="0" w:color="CCCCCC"/>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28456108" w14:textId="77777777" w:rsidR="002E18C9" w:rsidRPr="00D16196" w:rsidRDefault="002E18C9" w:rsidP="0040377E">
            <w:pPr>
              <w:rPr>
                <w:color w:val="000000"/>
                <w:sz w:val="24"/>
                <w:szCs w:val="24"/>
                <w:lang w:eastAsia="fr-CA"/>
              </w:rPr>
            </w:pPr>
            <w:r w:rsidRPr="00D16196">
              <w:rPr>
                <w:b/>
                <w:bCs/>
                <w:color w:val="000000"/>
                <w:sz w:val="24"/>
                <w:szCs w:val="24"/>
                <w:bdr w:val="none" w:sz="0" w:space="0" w:color="auto" w:frame="1"/>
                <w:lang w:eastAsia="fr-CA"/>
              </w:rPr>
              <w:t>Années cotisées depuis le 1</w:t>
            </w:r>
            <w:r w:rsidRPr="00D16196">
              <w:rPr>
                <w:b/>
                <w:bCs/>
                <w:color w:val="000000"/>
                <w:sz w:val="24"/>
                <w:szCs w:val="24"/>
                <w:bdr w:val="none" w:sz="0" w:space="0" w:color="auto" w:frame="1"/>
                <w:vertAlign w:val="superscript"/>
                <w:lang w:eastAsia="fr-CA"/>
              </w:rPr>
              <w:t>er</w:t>
            </w:r>
            <w:r w:rsidRPr="00D16196">
              <w:rPr>
                <w:b/>
                <w:bCs/>
                <w:color w:val="000000"/>
                <w:sz w:val="24"/>
                <w:szCs w:val="24"/>
                <w:bdr w:val="none" w:sz="0" w:space="0" w:color="auto" w:frame="1"/>
                <w:lang w:eastAsia="fr-CA"/>
              </w:rPr>
              <w:t> janvier 2000</w:t>
            </w:r>
            <w:r w:rsidRPr="00D16196">
              <w:rPr>
                <w:color w:val="000000"/>
                <w:sz w:val="24"/>
                <w:szCs w:val="24"/>
                <w:lang w:eastAsia="fr-CA"/>
              </w:rPr>
              <w:t> :</w:t>
            </w:r>
          </w:p>
          <w:p w14:paraId="08A845ED" w14:textId="0C6194CB" w:rsidR="002E18C9" w:rsidRPr="00D16196" w:rsidRDefault="002E18C9" w:rsidP="0040377E">
            <w:pPr>
              <w:textAlignment w:val="baseline"/>
              <w:rPr>
                <w:color w:val="000000"/>
                <w:sz w:val="24"/>
                <w:szCs w:val="24"/>
                <w:lang w:eastAsia="fr-CA"/>
              </w:rPr>
            </w:pPr>
            <w:r w:rsidRPr="00D16196">
              <w:rPr>
                <w:color w:val="000000"/>
                <w:sz w:val="24"/>
                <w:szCs w:val="24"/>
                <w:lang w:eastAsia="fr-CA"/>
              </w:rPr>
              <w:t>Portion de la rente indexée selon la plus avantageuse des</w:t>
            </w:r>
            <w:r w:rsidRPr="00D16196">
              <w:rPr>
                <w:color w:val="000000"/>
                <w:sz w:val="24"/>
                <w:szCs w:val="24"/>
                <w:lang w:eastAsia="fr-CA"/>
              </w:rPr>
              <w:br/>
              <w:t>2 formules : 50</w:t>
            </w:r>
            <w:r w:rsidR="00E70275">
              <w:rPr>
                <w:color w:val="000000"/>
                <w:sz w:val="24"/>
                <w:szCs w:val="24"/>
                <w:lang w:eastAsia="fr-CA"/>
              </w:rPr>
              <w:t> </w:t>
            </w:r>
            <w:r w:rsidRPr="00D16196">
              <w:rPr>
                <w:color w:val="000000"/>
                <w:sz w:val="24"/>
                <w:szCs w:val="24"/>
                <w:lang w:eastAsia="fr-CA"/>
              </w:rPr>
              <w:t>% du TAIR ou TAIR – 3</w:t>
            </w:r>
            <w:r w:rsidR="00E70275">
              <w:rPr>
                <w:color w:val="000000"/>
                <w:sz w:val="24"/>
                <w:szCs w:val="24"/>
                <w:lang w:eastAsia="fr-CA"/>
              </w:rPr>
              <w:t> </w:t>
            </w:r>
            <w:r w:rsidRPr="00D16196">
              <w:rPr>
                <w:color w:val="000000"/>
                <w:sz w:val="24"/>
                <w:szCs w:val="24"/>
                <w:lang w:eastAsia="fr-CA"/>
              </w:rPr>
              <w:t>%</w:t>
            </w:r>
          </w:p>
        </w:tc>
        <w:tc>
          <w:tcPr>
            <w:tcW w:w="2409" w:type="dxa"/>
            <w:tcBorders>
              <w:top w:val="nil"/>
              <w:left w:val="nil"/>
              <w:bottom w:val="single" w:sz="8" w:space="0" w:color="CCCCCC"/>
              <w:right w:val="single" w:sz="8" w:space="0" w:color="CCCCCC"/>
            </w:tcBorders>
            <w:shd w:val="clear" w:color="auto" w:fill="FFFFFF"/>
            <w:tcMar>
              <w:top w:w="150" w:type="dxa"/>
              <w:left w:w="150" w:type="dxa"/>
              <w:bottom w:w="150" w:type="dxa"/>
              <w:right w:w="150" w:type="dxa"/>
            </w:tcMar>
            <w:vAlign w:val="center"/>
            <w:hideMark/>
          </w:tcPr>
          <w:p w14:paraId="3A8F5CA8" w14:textId="1695F26F" w:rsidR="002E18C9" w:rsidRPr="00D16196" w:rsidRDefault="00144E5E" w:rsidP="0040377E">
            <w:pPr>
              <w:rPr>
                <w:b/>
                <w:bCs/>
                <w:color w:val="000000"/>
                <w:sz w:val="24"/>
                <w:szCs w:val="24"/>
                <w:lang w:eastAsia="fr-CA"/>
              </w:rPr>
            </w:pPr>
            <w:r w:rsidRPr="00D16196">
              <w:rPr>
                <w:b/>
                <w:bCs/>
                <w:color w:val="000000"/>
                <w:sz w:val="24"/>
                <w:szCs w:val="24"/>
                <w:lang w:eastAsia="fr-CA"/>
              </w:rPr>
              <w:t>2,2</w:t>
            </w:r>
            <w:r w:rsidR="00E70275">
              <w:rPr>
                <w:b/>
                <w:bCs/>
                <w:color w:val="000000"/>
                <w:sz w:val="24"/>
                <w:szCs w:val="24"/>
                <w:lang w:eastAsia="fr-CA"/>
              </w:rPr>
              <w:t> </w:t>
            </w:r>
            <w:r w:rsidRPr="00D16196">
              <w:rPr>
                <w:b/>
                <w:bCs/>
                <w:color w:val="000000"/>
                <w:sz w:val="24"/>
                <w:szCs w:val="24"/>
                <w:lang w:eastAsia="fr-CA"/>
              </w:rPr>
              <w:t>%</w:t>
            </w:r>
          </w:p>
          <w:p w14:paraId="0F4CE9FE" w14:textId="11825921" w:rsidR="002E18C9" w:rsidRPr="00D16196" w:rsidRDefault="002E18C9" w:rsidP="0040377E">
            <w:pPr>
              <w:textAlignment w:val="baseline"/>
              <w:rPr>
                <w:color w:val="000000"/>
                <w:sz w:val="24"/>
                <w:szCs w:val="24"/>
                <w:lang w:eastAsia="fr-CA"/>
              </w:rPr>
            </w:pPr>
            <w:r w:rsidRPr="00D16196">
              <w:rPr>
                <w:color w:val="000000"/>
                <w:sz w:val="24"/>
                <w:szCs w:val="24"/>
                <w:lang w:eastAsia="fr-CA"/>
              </w:rPr>
              <w:t>(</w:t>
            </w:r>
            <w:proofErr w:type="gramStart"/>
            <w:r w:rsidRPr="00D16196">
              <w:rPr>
                <w:color w:val="000000"/>
                <w:sz w:val="24"/>
                <w:szCs w:val="24"/>
                <w:lang w:eastAsia="fr-CA"/>
              </w:rPr>
              <w:t>soit</w:t>
            </w:r>
            <w:proofErr w:type="gramEnd"/>
            <w:r w:rsidRPr="00D16196">
              <w:rPr>
                <w:color w:val="000000"/>
                <w:sz w:val="24"/>
                <w:szCs w:val="24"/>
                <w:lang w:eastAsia="fr-CA"/>
              </w:rPr>
              <w:t xml:space="preserve"> </w:t>
            </w:r>
            <w:r w:rsidR="00D9017E" w:rsidRPr="00D16196">
              <w:rPr>
                <w:color w:val="000000"/>
                <w:sz w:val="24"/>
                <w:szCs w:val="24"/>
                <w:lang w:eastAsia="fr-CA"/>
              </w:rPr>
              <w:t>50</w:t>
            </w:r>
            <w:r w:rsidR="00E70275">
              <w:rPr>
                <w:color w:val="000000"/>
                <w:sz w:val="24"/>
                <w:szCs w:val="24"/>
                <w:lang w:eastAsia="fr-CA"/>
              </w:rPr>
              <w:t> </w:t>
            </w:r>
            <w:r w:rsidR="00D9017E" w:rsidRPr="00D16196">
              <w:rPr>
                <w:color w:val="000000"/>
                <w:sz w:val="24"/>
                <w:szCs w:val="24"/>
                <w:lang w:eastAsia="fr-CA"/>
              </w:rPr>
              <w:t>% du TAIR</w:t>
            </w:r>
            <w:r w:rsidR="00CA5131" w:rsidRPr="00D16196">
              <w:rPr>
                <w:color w:val="000000"/>
                <w:sz w:val="24"/>
                <w:szCs w:val="24"/>
                <w:lang w:eastAsia="fr-CA"/>
              </w:rPr>
              <w:t xml:space="preserve">, la </w:t>
            </w:r>
            <w:r w:rsidRPr="00D16196">
              <w:rPr>
                <w:color w:val="000000"/>
                <w:sz w:val="24"/>
                <w:szCs w:val="24"/>
                <w:lang w:eastAsia="fr-CA"/>
              </w:rPr>
              <w:t>plus avantageuse des 2 formules) </w:t>
            </w:r>
          </w:p>
        </w:tc>
      </w:tr>
    </w:tbl>
    <w:p w14:paraId="2569A1A2" w14:textId="77777777" w:rsidR="005F2F59" w:rsidRDefault="005F2F59" w:rsidP="00CD59CC">
      <w:pPr>
        <w:shd w:val="clear" w:color="auto" w:fill="FFFFFF"/>
        <w:spacing w:after="192"/>
        <w:textAlignment w:val="baseline"/>
        <w:rPr>
          <w:b/>
          <w:bCs/>
          <w:color w:val="000000"/>
          <w:sz w:val="24"/>
          <w:szCs w:val="24"/>
          <w:lang w:eastAsia="fr-CA"/>
        </w:rPr>
      </w:pPr>
    </w:p>
    <w:p w14:paraId="17EE91C3" w14:textId="5B85570E" w:rsidR="006312D8" w:rsidRPr="00D16196" w:rsidRDefault="001C3492" w:rsidP="00CD59CC">
      <w:pPr>
        <w:shd w:val="clear" w:color="auto" w:fill="FFFFFF"/>
        <w:spacing w:after="192"/>
        <w:textAlignment w:val="baseline"/>
        <w:rPr>
          <w:b/>
          <w:bCs/>
          <w:color w:val="000000"/>
          <w:sz w:val="24"/>
          <w:szCs w:val="24"/>
          <w:lang w:eastAsia="fr-CA"/>
        </w:rPr>
      </w:pPr>
      <w:r w:rsidRPr="00D16196">
        <w:rPr>
          <w:b/>
          <w:bCs/>
          <w:color w:val="000000"/>
          <w:sz w:val="24"/>
          <w:szCs w:val="24"/>
          <w:lang w:eastAsia="fr-CA"/>
        </w:rPr>
        <w:t>I</w:t>
      </w:r>
      <w:r w:rsidR="002E18C9" w:rsidRPr="00D16196">
        <w:rPr>
          <w:b/>
          <w:bCs/>
          <w:color w:val="000000"/>
          <w:sz w:val="24"/>
          <w:szCs w:val="24"/>
          <w:lang w:eastAsia="fr-CA"/>
        </w:rPr>
        <w:t xml:space="preserve">ndexation additionnelle </w:t>
      </w:r>
      <w:r w:rsidR="008E580B" w:rsidRPr="00D16196">
        <w:rPr>
          <w:b/>
          <w:bCs/>
          <w:color w:val="000000"/>
          <w:sz w:val="24"/>
          <w:szCs w:val="24"/>
          <w:lang w:eastAsia="fr-CA"/>
        </w:rPr>
        <w:t>pour les années cotisées entre 1982 et 1999</w:t>
      </w:r>
      <w:r w:rsidR="00B112CE" w:rsidRPr="00D16196">
        <w:rPr>
          <w:b/>
          <w:bCs/>
          <w:color w:val="000000"/>
          <w:sz w:val="24"/>
          <w:szCs w:val="24"/>
          <w:lang w:eastAsia="fr-CA"/>
        </w:rPr>
        <w:t xml:space="preserve"> </w:t>
      </w:r>
    </w:p>
    <w:p w14:paraId="301471DC" w14:textId="50A2016F" w:rsidR="00CD59CC" w:rsidRPr="00D16196" w:rsidRDefault="00FB647C" w:rsidP="00CD59CC">
      <w:pPr>
        <w:shd w:val="clear" w:color="auto" w:fill="FFFFFF"/>
        <w:spacing w:after="192"/>
        <w:textAlignment w:val="baseline"/>
        <w:rPr>
          <w:b/>
          <w:bCs/>
          <w:color w:val="000000"/>
          <w:sz w:val="24"/>
          <w:szCs w:val="24"/>
          <w:lang w:eastAsia="fr-CA"/>
        </w:rPr>
      </w:pPr>
      <w:r w:rsidRPr="00D16196">
        <w:rPr>
          <w:sz w:val="24"/>
          <w:szCs w:val="24"/>
        </w:rPr>
        <w:t>Pour la première fois au RREGOP, une indexation dite « additionnelle » sera versée en 2024. Cette indexation additionnelle est rendue possible en raison des surplus constatés dans la plus récente</w:t>
      </w:r>
      <w:r w:rsidR="00CD59CC" w:rsidRPr="00D16196">
        <w:rPr>
          <w:sz w:val="24"/>
          <w:szCs w:val="24"/>
        </w:rPr>
        <w:t xml:space="preserve"> mise à jour de l’évaluation </w:t>
      </w:r>
      <w:r w:rsidR="005547EE" w:rsidRPr="00D16196">
        <w:rPr>
          <w:sz w:val="24"/>
          <w:szCs w:val="24"/>
        </w:rPr>
        <w:t xml:space="preserve">actuarielle </w:t>
      </w:r>
      <w:r w:rsidR="00CD59CC" w:rsidRPr="00D16196">
        <w:rPr>
          <w:sz w:val="24"/>
          <w:szCs w:val="24"/>
        </w:rPr>
        <w:t>du RREGOP</w:t>
      </w:r>
      <w:r w:rsidRPr="00D16196">
        <w:rPr>
          <w:sz w:val="24"/>
          <w:szCs w:val="24"/>
        </w:rPr>
        <w:t>. En effet, cette mise à jour</w:t>
      </w:r>
      <w:r w:rsidR="00CD59CC" w:rsidRPr="00D16196">
        <w:rPr>
          <w:sz w:val="24"/>
          <w:szCs w:val="24"/>
        </w:rPr>
        <w:t xml:space="preserve"> publiée en octobre dernier a révélé un taux de capitalisation de 123,1</w:t>
      </w:r>
      <w:r w:rsidR="00170C78">
        <w:rPr>
          <w:sz w:val="24"/>
          <w:szCs w:val="24"/>
        </w:rPr>
        <w:t> </w:t>
      </w:r>
      <w:r w:rsidR="00CD59CC" w:rsidRPr="00D16196">
        <w:rPr>
          <w:sz w:val="24"/>
          <w:szCs w:val="24"/>
        </w:rPr>
        <w:t xml:space="preserve">%, ce qui correspond à l’une des conditions pour le versement additionnel d’une indexation </w:t>
      </w:r>
      <w:r w:rsidR="00CD59CC" w:rsidRPr="00D16196">
        <w:rPr>
          <w:sz w:val="24"/>
          <w:szCs w:val="24"/>
        </w:rPr>
        <w:lastRenderedPageBreak/>
        <w:t xml:space="preserve">en 2024, à même des surplus de la caisse des personnes participantes. </w:t>
      </w:r>
      <w:r w:rsidR="0092188F" w:rsidRPr="00D16196">
        <w:rPr>
          <w:sz w:val="24"/>
          <w:szCs w:val="24"/>
        </w:rPr>
        <w:t xml:space="preserve"> Ce montant s’ajoutera à l’indexation régulière prévue pour la période 1982</w:t>
      </w:r>
      <w:r w:rsidR="005547EE" w:rsidRPr="00D16196">
        <w:rPr>
          <w:sz w:val="24"/>
          <w:szCs w:val="24"/>
        </w:rPr>
        <w:t xml:space="preserve"> à </w:t>
      </w:r>
      <w:r w:rsidR="0092188F" w:rsidRPr="00D16196">
        <w:rPr>
          <w:sz w:val="24"/>
          <w:szCs w:val="24"/>
        </w:rPr>
        <w:t>1999.</w:t>
      </w:r>
    </w:p>
    <w:p w14:paraId="51C13799" w14:textId="70B14C99" w:rsidR="004734DD" w:rsidRPr="00D16196" w:rsidRDefault="00693BEF" w:rsidP="0040377E">
      <w:pPr>
        <w:shd w:val="clear" w:color="auto" w:fill="FFFFFF"/>
        <w:spacing w:after="192"/>
        <w:textAlignment w:val="baseline"/>
        <w:rPr>
          <w:b/>
          <w:bCs/>
          <w:sz w:val="24"/>
          <w:szCs w:val="24"/>
        </w:rPr>
      </w:pPr>
      <w:r w:rsidRPr="00D16196">
        <w:rPr>
          <w:b/>
          <w:bCs/>
          <w:sz w:val="24"/>
          <w:szCs w:val="24"/>
        </w:rPr>
        <w:t>Bref r</w:t>
      </w:r>
      <w:r w:rsidR="004734DD" w:rsidRPr="00D16196">
        <w:rPr>
          <w:b/>
          <w:bCs/>
          <w:sz w:val="24"/>
          <w:szCs w:val="24"/>
        </w:rPr>
        <w:t>appel</w:t>
      </w:r>
      <w:r w:rsidRPr="00D16196">
        <w:rPr>
          <w:b/>
          <w:bCs/>
          <w:sz w:val="24"/>
          <w:szCs w:val="24"/>
        </w:rPr>
        <w:t xml:space="preserve"> </w:t>
      </w:r>
    </w:p>
    <w:p w14:paraId="7E487535" w14:textId="721DCCDF" w:rsidR="008E6DB4" w:rsidRPr="00D16196" w:rsidRDefault="00FB647C" w:rsidP="0040377E">
      <w:pPr>
        <w:shd w:val="clear" w:color="auto" w:fill="FFFFFF"/>
        <w:spacing w:after="192"/>
        <w:textAlignment w:val="baseline"/>
        <w:rPr>
          <w:sz w:val="24"/>
          <w:szCs w:val="24"/>
        </w:rPr>
      </w:pPr>
      <w:r w:rsidRPr="00D16196">
        <w:rPr>
          <w:sz w:val="24"/>
          <w:szCs w:val="24"/>
        </w:rPr>
        <w:t>Rappelons qu’u</w:t>
      </w:r>
      <w:r w:rsidR="004734DD" w:rsidRPr="00D16196">
        <w:rPr>
          <w:sz w:val="24"/>
          <w:szCs w:val="24"/>
        </w:rPr>
        <w:t>ne entente est survenue en 2010</w:t>
      </w:r>
      <w:r w:rsidRPr="00D16196">
        <w:rPr>
          <w:sz w:val="24"/>
          <w:szCs w:val="24"/>
        </w:rPr>
        <w:t xml:space="preserve"> entre le gouvernement et les parties négociantes, notamment la CSQ,</w:t>
      </w:r>
      <w:r w:rsidR="004734DD" w:rsidRPr="00D16196">
        <w:rPr>
          <w:sz w:val="24"/>
          <w:szCs w:val="24"/>
        </w:rPr>
        <w:t xml:space="preserve"> sur le financement du RREGOP (politique de financement). Dans la foulée de cette entente, l</w:t>
      </w:r>
      <w:r w:rsidR="0092188F" w:rsidRPr="00D16196">
        <w:rPr>
          <w:sz w:val="24"/>
          <w:szCs w:val="24"/>
        </w:rPr>
        <w:t>’article 77 de l</w:t>
      </w:r>
      <w:r w:rsidR="004734DD" w:rsidRPr="00D16196">
        <w:rPr>
          <w:sz w:val="24"/>
          <w:szCs w:val="24"/>
        </w:rPr>
        <w:t xml:space="preserve">a Loi sur le RREGOP </w:t>
      </w:r>
      <w:r w:rsidR="0092188F" w:rsidRPr="00D16196">
        <w:rPr>
          <w:sz w:val="24"/>
          <w:szCs w:val="24"/>
        </w:rPr>
        <w:t xml:space="preserve">a été modifié pour permettre </w:t>
      </w:r>
      <w:r w:rsidRPr="00D16196">
        <w:rPr>
          <w:sz w:val="24"/>
          <w:szCs w:val="24"/>
        </w:rPr>
        <w:t>une</w:t>
      </w:r>
      <w:r w:rsidR="004734DD" w:rsidRPr="00D16196">
        <w:rPr>
          <w:sz w:val="24"/>
          <w:szCs w:val="24"/>
        </w:rPr>
        <w:t xml:space="preserve"> bonification de l’indexation à même les surplus</w:t>
      </w:r>
      <w:r w:rsidR="0092188F" w:rsidRPr="00D16196">
        <w:rPr>
          <w:sz w:val="24"/>
          <w:szCs w:val="24"/>
        </w:rPr>
        <w:t xml:space="preserve"> de la caisse des participants</w:t>
      </w:r>
      <w:r w:rsidRPr="00D16196">
        <w:rPr>
          <w:sz w:val="24"/>
          <w:szCs w:val="24"/>
        </w:rPr>
        <w:t xml:space="preserve"> quand ceux-ci dépassent 120</w:t>
      </w:r>
      <w:r w:rsidR="00170C78">
        <w:rPr>
          <w:sz w:val="24"/>
          <w:szCs w:val="24"/>
        </w:rPr>
        <w:t> </w:t>
      </w:r>
      <w:r w:rsidRPr="00D16196">
        <w:rPr>
          <w:sz w:val="24"/>
          <w:szCs w:val="24"/>
        </w:rPr>
        <w:t>%</w:t>
      </w:r>
      <w:r w:rsidR="005547EE" w:rsidRPr="00D16196">
        <w:rPr>
          <w:sz w:val="24"/>
          <w:szCs w:val="24"/>
        </w:rPr>
        <w:t>.</w:t>
      </w:r>
    </w:p>
    <w:p w14:paraId="79D64178" w14:textId="73BC873D" w:rsidR="00D8122E" w:rsidRPr="00D16196" w:rsidRDefault="004734DD" w:rsidP="0040377E">
      <w:pPr>
        <w:shd w:val="clear" w:color="auto" w:fill="FFFFFF"/>
        <w:spacing w:after="192"/>
        <w:textAlignment w:val="baseline"/>
        <w:rPr>
          <w:sz w:val="24"/>
          <w:szCs w:val="24"/>
        </w:rPr>
      </w:pPr>
      <w:r w:rsidRPr="00D16196">
        <w:rPr>
          <w:b/>
          <w:bCs/>
          <w:sz w:val="24"/>
          <w:szCs w:val="24"/>
        </w:rPr>
        <w:t>Quoi?</w:t>
      </w:r>
      <w:r w:rsidRPr="00D16196">
        <w:rPr>
          <w:sz w:val="24"/>
          <w:szCs w:val="24"/>
        </w:rPr>
        <w:t xml:space="preserve"> Une indexation ponctuelle (non récurrente) des rentes en paiement</w:t>
      </w:r>
      <w:r w:rsidR="00D8122E" w:rsidRPr="00D16196">
        <w:rPr>
          <w:sz w:val="24"/>
          <w:szCs w:val="24"/>
        </w:rPr>
        <w:t xml:space="preserve">, qu’on appelle aujourd’hui une </w:t>
      </w:r>
      <w:r w:rsidR="00FB647C" w:rsidRPr="00D16196">
        <w:rPr>
          <w:sz w:val="24"/>
          <w:szCs w:val="24"/>
        </w:rPr>
        <w:t xml:space="preserve">indexation </w:t>
      </w:r>
      <w:r w:rsidR="00D8122E" w:rsidRPr="00D16196">
        <w:rPr>
          <w:sz w:val="24"/>
          <w:szCs w:val="24"/>
        </w:rPr>
        <w:t>additionnelle.</w:t>
      </w:r>
    </w:p>
    <w:p w14:paraId="14A3DC51" w14:textId="77777777" w:rsidR="004751FE" w:rsidRPr="00D16196" w:rsidRDefault="004734DD" w:rsidP="0040377E">
      <w:pPr>
        <w:shd w:val="clear" w:color="auto" w:fill="FFFFFF"/>
        <w:spacing w:after="192"/>
        <w:textAlignment w:val="baseline"/>
        <w:rPr>
          <w:sz w:val="24"/>
          <w:szCs w:val="24"/>
        </w:rPr>
      </w:pPr>
      <w:r w:rsidRPr="00D16196">
        <w:rPr>
          <w:b/>
          <w:bCs/>
          <w:sz w:val="24"/>
          <w:szCs w:val="24"/>
        </w:rPr>
        <w:t xml:space="preserve"> Sur quoi?</w:t>
      </w:r>
      <w:r w:rsidRPr="00D16196">
        <w:rPr>
          <w:sz w:val="24"/>
          <w:szCs w:val="24"/>
        </w:rPr>
        <w:t xml:space="preserve"> </w:t>
      </w:r>
      <w:r w:rsidR="00D8122E" w:rsidRPr="00D16196">
        <w:rPr>
          <w:sz w:val="24"/>
          <w:szCs w:val="24"/>
        </w:rPr>
        <w:t xml:space="preserve">Sur la rente correspondant aux années cotisées entre le </w:t>
      </w:r>
      <w:r w:rsidRPr="00D16196">
        <w:rPr>
          <w:sz w:val="24"/>
          <w:szCs w:val="24"/>
        </w:rPr>
        <w:t>1</w:t>
      </w:r>
      <w:r w:rsidRPr="005F2F59">
        <w:rPr>
          <w:sz w:val="24"/>
          <w:szCs w:val="24"/>
          <w:vertAlign w:val="superscript"/>
        </w:rPr>
        <w:t>er</w:t>
      </w:r>
      <w:r w:rsidRPr="00D16196">
        <w:rPr>
          <w:sz w:val="24"/>
          <w:szCs w:val="24"/>
        </w:rPr>
        <w:t xml:space="preserve"> juillet 1982 </w:t>
      </w:r>
      <w:r w:rsidR="00864927" w:rsidRPr="00D16196">
        <w:rPr>
          <w:sz w:val="24"/>
          <w:szCs w:val="24"/>
        </w:rPr>
        <w:t xml:space="preserve">et le </w:t>
      </w:r>
      <w:r w:rsidRPr="00D16196">
        <w:rPr>
          <w:sz w:val="24"/>
          <w:szCs w:val="24"/>
        </w:rPr>
        <w:t>31 décembre 1999, mais sur la moitié de la rente</w:t>
      </w:r>
      <w:r w:rsidR="00864927" w:rsidRPr="00D16196">
        <w:rPr>
          <w:sz w:val="24"/>
          <w:szCs w:val="24"/>
        </w:rPr>
        <w:t xml:space="preserve"> seulement (</w:t>
      </w:r>
      <w:r w:rsidRPr="00D16196">
        <w:rPr>
          <w:sz w:val="24"/>
          <w:szCs w:val="24"/>
        </w:rPr>
        <w:t>celle à la charge de la caisse des personnes participantes</w:t>
      </w:r>
      <w:r w:rsidR="004751FE" w:rsidRPr="00D16196">
        <w:rPr>
          <w:sz w:val="24"/>
          <w:szCs w:val="24"/>
        </w:rPr>
        <w:t>)</w:t>
      </w:r>
      <w:r w:rsidRPr="00D16196">
        <w:rPr>
          <w:sz w:val="24"/>
          <w:szCs w:val="24"/>
        </w:rPr>
        <w:t xml:space="preserve">. </w:t>
      </w:r>
    </w:p>
    <w:p w14:paraId="24D2BA6D" w14:textId="134442F6" w:rsidR="00595AB9" w:rsidRPr="00D16196" w:rsidRDefault="004734DD" w:rsidP="0040377E">
      <w:pPr>
        <w:shd w:val="clear" w:color="auto" w:fill="FFFFFF"/>
        <w:spacing w:after="192"/>
        <w:textAlignment w:val="baseline"/>
        <w:rPr>
          <w:sz w:val="24"/>
          <w:szCs w:val="24"/>
        </w:rPr>
      </w:pPr>
      <w:r w:rsidRPr="00D16196">
        <w:rPr>
          <w:b/>
          <w:bCs/>
          <w:sz w:val="24"/>
          <w:szCs w:val="24"/>
        </w:rPr>
        <w:t>Combien?</w:t>
      </w:r>
      <w:r w:rsidRPr="00D16196">
        <w:rPr>
          <w:sz w:val="24"/>
          <w:szCs w:val="24"/>
        </w:rPr>
        <w:t xml:space="preserve"> </w:t>
      </w:r>
      <w:r w:rsidR="00C708EB" w:rsidRPr="00D16196">
        <w:rPr>
          <w:sz w:val="24"/>
          <w:szCs w:val="24"/>
        </w:rPr>
        <w:t xml:space="preserve">L’indexation additionnelle correspond à </w:t>
      </w:r>
      <w:r w:rsidRPr="00D16196">
        <w:rPr>
          <w:sz w:val="24"/>
          <w:szCs w:val="24"/>
        </w:rPr>
        <w:t xml:space="preserve">l’écart entre l’indexation </w:t>
      </w:r>
      <w:r w:rsidR="00C708EB" w:rsidRPr="00D16196">
        <w:rPr>
          <w:sz w:val="24"/>
          <w:szCs w:val="24"/>
        </w:rPr>
        <w:t>des années cotisées après 2000</w:t>
      </w:r>
      <w:r w:rsidRPr="00D16196">
        <w:rPr>
          <w:sz w:val="24"/>
          <w:szCs w:val="24"/>
        </w:rPr>
        <w:t xml:space="preserve"> et celle </w:t>
      </w:r>
      <w:r w:rsidR="00C708EB" w:rsidRPr="00D16196">
        <w:rPr>
          <w:sz w:val="24"/>
          <w:szCs w:val="24"/>
        </w:rPr>
        <w:t>des années</w:t>
      </w:r>
      <w:r w:rsidR="00595AB9" w:rsidRPr="00D16196">
        <w:rPr>
          <w:sz w:val="24"/>
          <w:szCs w:val="24"/>
        </w:rPr>
        <w:t xml:space="preserve"> cotisées entre 1982 et 1999</w:t>
      </w:r>
      <w:r w:rsidR="00831201" w:rsidRPr="00D16196">
        <w:rPr>
          <w:sz w:val="24"/>
          <w:szCs w:val="24"/>
        </w:rPr>
        <w:t xml:space="preserve">, soit </w:t>
      </w:r>
      <w:r w:rsidR="00831201" w:rsidRPr="00D16196">
        <w:rPr>
          <w:b/>
          <w:bCs/>
          <w:sz w:val="24"/>
          <w:szCs w:val="24"/>
        </w:rPr>
        <w:t>0,8</w:t>
      </w:r>
      <w:r w:rsidR="00170C78">
        <w:rPr>
          <w:b/>
          <w:bCs/>
          <w:sz w:val="24"/>
          <w:szCs w:val="24"/>
        </w:rPr>
        <w:t> </w:t>
      </w:r>
      <w:r w:rsidR="00831201" w:rsidRPr="00D16196">
        <w:rPr>
          <w:b/>
          <w:bCs/>
          <w:sz w:val="24"/>
          <w:szCs w:val="24"/>
        </w:rPr>
        <w:t xml:space="preserve">% </w:t>
      </w:r>
      <w:r w:rsidR="00831201" w:rsidRPr="00D16196">
        <w:rPr>
          <w:sz w:val="24"/>
          <w:szCs w:val="24"/>
        </w:rPr>
        <w:t>(2,2</w:t>
      </w:r>
      <w:r w:rsidR="00170C78">
        <w:rPr>
          <w:sz w:val="24"/>
          <w:szCs w:val="24"/>
        </w:rPr>
        <w:t> </w:t>
      </w:r>
      <w:r w:rsidR="00831201" w:rsidRPr="00D16196">
        <w:rPr>
          <w:sz w:val="24"/>
          <w:szCs w:val="24"/>
        </w:rPr>
        <w:t>% - 1,4</w:t>
      </w:r>
      <w:r w:rsidR="00170C78">
        <w:rPr>
          <w:sz w:val="24"/>
          <w:szCs w:val="24"/>
        </w:rPr>
        <w:t> </w:t>
      </w:r>
      <w:r w:rsidR="00831201" w:rsidRPr="00D16196">
        <w:rPr>
          <w:sz w:val="24"/>
          <w:szCs w:val="24"/>
        </w:rPr>
        <w:t>% = 0,8</w:t>
      </w:r>
      <w:r w:rsidR="00170C78">
        <w:rPr>
          <w:sz w:val="24"/>
          <w:szCs w:val="24"/>
        </w:rPr>
        <w:t> </w:t>
      </w:r>
      <w:r w:rsidR="00831201" w:rsidRPr="00D16196">
        <w:rPr>
          <w:sz w:val="24"/>
          <w:szCs w:val="24"/>
        </w:rPr>
        <w:t>%</w:t>
      </w:r>
      <w:r w:rsidR="00F505E2" w:rsidRPr="00D16196">
        <w:rPr>
          <w:sz w:val="24"/>
          <w:szCs w:val="24"/>
        </w:rPr>
        <w:t>)</w:t>
      </w:r>
      <w:r w:rsidR="0092188F" w:rsidRPr="00D16196">
        <w:rPr>
          <w:sz w:val="24"/>
          <w:szCs w:val="24"/>
        </w:rPr>
        <w:t>. Ce 0,8</w:t>
      </w:r>
      <w:r w:rsidR="00170C78">
        <w:rPr>
          <w:sz w:val="24"/>
          <w:szCs w:val="24"/>
        </w:rPr>
        <w:t> </w:t>
      </w:r>
      <w:r w:rsidR="0092188F" w:rsidRPr="00D16196">
        <w:rPr>
          <w:sz w:val="24"/>
          <w:szCs w:val="24"/>
        </w:rPr>
        <w:t>% s’ajoutera à l’indexation régulière de 1,4</w:t>
      </w:r>
      <w:r w:rsidR="00170C78">
        <w:rPr>
          <w:sz w:val="24"/>
          <w:szCs w:val="24"/>
        </w:rPr>
        <w:t> </w:t>
      </w:r>
      <w:r w:rsidR="0092188F" w:rsidRPr="00D16196">
        <w:rPr>
          <w:sz w:val="24"/>
          <w:szCs w:val="24"/>
        </w:rPr>
        <w:t>% pour cette portion de rente.</w:t>
      </w:r>
    </w:p>
    <w:p w14:paraId="3D19F9A8" w14:textId="542CBE64" w:rsidR="00831201" w:rsidRPr="00D16196" w:rsidRDefault="004734DD" w:rsidP="0040377E">
      <w:pPr>
        <w:shd w:val="clear" w:color="auto" w:fill="FFFFFF"/>
        <w:spacing w:after="192"/>
        <w:textAlignment w:val="baseline"/>
        <w:rPr>
          <w:sz w:val="24"/>
          <w:szCs w:val="24"/>
        </w:rPr>
      </w:pPr>
      <w:r w:rsidRPr="00D16196">
        <w:rPr>
          <w:b/>
          <w:bCs/>
          <w:sz w:val="24"/>
          <w:szCs w:val="24"/>
        </w:rPr>
        <w:t>Quand?</w:t>
      </w:r>
      <w:r w:rsidRPr="00D16196">
        <w:rPr>
          <w:sz w:val="24"/>
          <w:szCs w:val="24"/>
        </w:rPr>
        <w:t xml:space="preserve"> </w:t>
      </w:r>
      <w:r w:rsidR="00595AB9" w:rsidRPr="00D16196">
        <w:rPr>
          <w:sz w:val="24"/>
          <w:szCs w:val="24"/>
        </w:rPr>
        <w:t xml:space="preserve">Autour du mois </w:t>
      </w:r>
      <w:r w:rsidR="00CE2D68" w:rsidRPr="00D16196">
        <w:rPr>
          <w:sz w:val="24"/>
          <w:szCs w:val="24"/>
        </w:rPr>
        <w:t>d’août</w:t>
      </w:r>
      <w:r w:rsidR="00595AB9" w:rsidRPr="00D16196">
        <w:rPr>
          <w:sz w:val="24"/>
          <w:szCs w:val="24"/>
        </w:rPr>
        <w:t xml:space="preserve"> 2024</w:t>
      </w:r>
      <w:r w:rsidR="00831201" w:rsidRPr="00D16196">
        <w:rPr>
          <w:sz w:val="24"/>
          <w:szCs w:val="24"/>
        </w:rPr>
        <w:t>.</w:t>
      </w:r>
    </w:p>
    <w:p w14:paraId="3464B5B2" w14:textId="2F4DD16E" w:rsidR="0092188F" w:rsidRPr="00D16196" w:rsidRDefault="0092188F" w:rsidP="0040377E">
      <w:pPr>
        <w:shd w:val="clear" w:color="auto" w:fill="FFFFFF"/>
        <w:spacing w:after="192"/>
        <w:textAlignment w:val="baseline"/>
        <w:rPr>
          <w:b/>
          <w:bCs/>
          <w:sz w:val="24"/>
          <w:szCs w:val="24"/>
        </w:rPr>
      </w:pPr>
      <w:r w:rsidRPr="00D16196">
        <w:rPr>
          <w:b/>
          <w:bCs/>
          <w:sz w:val="24"/>
          <w:szCs w:val="24"/>
        </w:rPr>
        <w:t xml:space="preserve">Comment? </w:t>
      </w:r>
      <w:r w:rsidRPr="00D16196">
        <w:rPr>
          <w:sz w:val="24"/>
          <w:szCs w:val="24"/>
        </w:rPr>
        <w:t>L’ajustement sera fait automatiquement sur la rente</w:t>
      </w:r>
      <w:r w:rsidR="00CE2D68" w:rsidRPr="00D16196">
        <w:rPr>
          <w:sz w:val="24"/>
          <w:szCs w:val="24"/>
        </w:rPr>
        <w:t xml:space="preserve"> et sera rétroacti</w:t>
      </w:r>
      <w:r w:rsidR="00D16196" w:rsidRPr="00D16196">
        <w:rPr>
          <w:sz w:val="24"/>
          <w:szCs w:val="24"/>
        </w:rPr>
        <w:t>f</w:t>
      </w:r>
      <w:r w:rsidR="00CE2D68" w:rsidRPr="00D16196">
        <w:rPr>
          <w:sz w:val="24"/>
          <w:szCs w:val="24"/>
        </w:rPr>
        <w:t xml:space="preserve"> </w:t>
      </w:r>
      <w:r w:rsidRPr="00D16196">
        <w:rPr>
          <w:sz w:val="24"/>
          <w:szCs w:val="24"/>
        </w:rPr>
        <w:t>au 1</w:t>
      </w:r>
      <w:r w:rsidRPr="00D16196">
        <w:rPr>
          <w:sz w:val="24"/>
          <w:szCs w:val="24"/>
          <w:vertAlign w:val="superscript"/>
        </w:rPr>
        <w:t>er</w:t>
      </w:r>
      <w:r w:rsidRPr="00D16196">
        <w:rPr>
          <w:sz w:val="24"/>
          <w:szCs w:val="24"/>
        </w:rPr>
        <w:t xml:space="preserve"> janvier 2024.</w:t>
      </w:r>
    </w:p>
    <w:p w14:paraId="738E78B3" w14:textId="539A0CF6" w:rsidR="00AA686F" w:rsidRPr="00D16196" w:rsidRDefault="0092188F" w:rsidP="0040377E">
      <w:pPr>
        <w:shd w:val="clear" w:color="auto" w:fill="FFFFFF"/>
        <w:spacing w:after="192"/>
        <w:textAlignment w:val="baseline"/>
        <w:rPr>
          <w:color w:val="000000"/>
          <w:sz w:val="24"/>
          <w:szCs w:val="24"/>
          <w:lang w:eastAsia="fr-CA"/>
        </w:rPr>
      </w:pPr>
      <w:r w:rsidRPr="00D16196">
        <w:rPr>
          <w:sz w:val="24"/>
          <w:szCs w:val="24"/>
        </w:rPr>
        <w:t>Il est à noter que l</w:t>
      </w:r>
      <w:r w:rsidR="00AA686F" w:rsidRPr="00D16196">
        <w:rPr>
          <w:sz w:val="24"/>
          <w:szCs w:val="24"/>
        </w:rPr>
        <w:t xml:space="preserve">a rente additionnelle sera versée pour </w:t>
      </w:r>
      <w:r w:rsidR="00793610" w:rsidRPr="00D16196">
        <w:rPr>
          <w:sz w:val="24"/>
          <w:szCs w:val="24"/>
        </w:rPr>
        <w:t xml:space="preserve">les </w:t>
      </w:r>
      <w:r w:rsidR="00AA686F" w:rsidRPr="00D16196">
        <w:rPr>
          <w:color w:val="000000"/>
          <w:sz w:val="24"/>
          <w:szCs w:val="24"/>
          <w:lang w:eastAsia="fr-CA"/>
        </w:rPr>
        <w:t>régimes de retraite des secteurs publics administrés par Retraite Québec, tels que le RREGOP</w:t>
      </w:r>
      <w:r w:rsidR="003A2496" w:rsidRPr="00D16196">
        <w:rPr>
          <w:color w:val="000000"/>
          <w:sz w:val="24"/>
          <w:szCs w:val="24"/>
          <w:lang w:eastAsia="fr-CA"/>
        </w:rPr>
        <w:t>. Cependant,</w:t>
      </w:r>
      <w:r w:rsidR="00CB58A9" w:rsidRPr="00D16196">
        <w:rPr>
          <w:color w:val="000000"/>
          <w:sz w:val="24"/>
          <w:szCs w:val="24"/>
          <w:lang w:eastAsia="fr-CA"/>
        </w:rPr>
        <w:t xml:space="preserve"> en ce qui concerne le RRE, RRF et le RRCE</w:t>
      </w:r>
      <w:r w:rsidR="003A2496" w:rsidRPr="00D16196">
        <w:rPr>
          <w:color w:val="000000"/>
          <w:sz w:val="24"/>
          <w:szCs w:val="24"/>
          <w:lang w:eastAsia="fr-CA"/>
        </w:rPr>
        <w:t xml:space="preserve">, cette indexation additionnelle sera versée </w:t>
      </w:r>
      <w:r w:rsidR="00793610" w:rsidRPr="00D16196">
        <w:rPr>
          <w:color w:val="000000"/>
          <w:sz w:val="24"/>
          <w:szCs w:val="24"/>
          <w:lang w:eastAsia="fr-CA"/>
        </w:rPr>
        <w:t>uniquement si le gouvernemen</w:t>
      </w:r>
      <w:r w:rsidR="00CB58A9" w:rsidRPr="00D16196">
        <w:rPr>
          <w:color w:val="000000"/>
          <w:sz w:val="24"/>
          <w:szCs w:val="24"/>
          <w:lang w:eastAsia="fr-CA"/>
        </w:rPr>
        <w:t xml:space="preserve">t </w:t>
      </w:r>
      <w:r w:rsidR="00793610" w:rsidRPr="00D16196">
        <w:rPr>
          <w:color w:val="000000"/>
          <w:sz w:val="24"/>
          <w:szCs w:val="24"/>
          <w:lang w:eastAsia="fr-CA"/>
        </w:rPr>
        <w:t xml:space="preserve">décide de verser sa part de l’indexation. </w:t>
      </w:r>
    </w:p>
    <w:p w14:paraId="2C65217A" w14:textId="2D010D25" w:rsidR="006312D8" w:rsidRPr="00D16196" w:rsidRDefault="006312D8" w:rsidP="0040377E">
      <w:pPr>
        <w:shd w:val="clear" w:color="auto" w:fill="FFFFFF"/>
        <w:spacing w:after="192"/>
        <w:textAlignment w:val="baseline"/>
        <w:rPr>
          <w:b/>
          <w:bCs/>
          <w:sz w:val="24"/>
          <w:szCs w:val="24"/>
        </w:rPr>
      </w:pPr>
      <w:r w:rsidRPr="00D16196">
        <w:rPr>
          <w:b/>
          <w:bCs/>
          <w:sz w:val="24"/>
          <w:szCs w:val="24"/>
        </w:rPr>
        <w:t xml:space="preserve">La part de l’employeur </w:t>
      </w:r>
    </w:p>
    <w:p w14:paraId="3EE45707" w14:textId="3CC989A5" w:rsidR="0092188F" w:rsidRPr="00D16196" w:rsidRDefault="00FB647C" w:rsidP="0040377E">
      <w:pPr>
        <w:shd w:val="clear" w:color="auto" w:fill="FFFFFF"/>
        <w:spacing w:after="192"/>
        <w:textAlignment w:val="baseline"/>
        <w:rPr>
          <w:sz w:val="24"/>
          <w:szCs w:val="24"/>
        </w:rPr>
      </w:pPr>
      <w:r w:rsidRPr="00D16196">
        <w:rPr>
          <w:sz w:val="24"/>
          <w:szCs w:val="24"/>
        </w:rPr>
        <w:t>Mentionnons enfin</w:t>
      </w:r>
      <w:r w:rsidR="006312D8" w:rsidRPr="00D16196">
        <w:rPr>
          <w:sz w:val="24"/>
          <w:szCs w:val="24"/>
        </w:rPr>
        <w:t xml:space="preserve"> que lors de l’entente de 2010, le gouvernement n’a pas souscrit au même engagement visant à indexer de façon ponctuelle la rente à sa charge dans la situation </w:t>
      </w:r>
      <w:r w:rsidR="00E92357" w:rsidRPr="00D16196">
        <w:rPr>
          <w:sz w:val="24"/>
          <w:szCs w:val="24"/>
        </w:rPr>
        <w:t>d’u</w:t>
      </w:r>
      <w:r w:rsidR="0075606E" w:rsidRPr="00D16196">
        <w:rPr>
          <w:sz w:val="24"/>
          <w:szCs w:val="24"/>
        </w:rPr>
        <w:t>n</w:t>
      </w:r>
      <w:r w:rsidR="006312D8" w:rsidRPr="00D16196">
        <w:rPr>
          <w:sz w:val="24"/>
          <w:szCs w:val="24"/>
        </w:rPr>
        <w:t xml:space="preserve"> </w:t>
      </w:r>
      <w:r w:rsidR="00E92357" w:rsidRPr="00D16196">
        <w:rPr>
          <w:sz w:val="24"/>
          <w:szCs w:val="24"/>
        </w:rPr>
        <w:t>taux de capitalisation</w:t>
      </w:r>
      <w:r w:rsidR="006312D8" w:rsidRPr="00D16196">
        <w:rPr>
          <w:sz w:val="24"/>
          <w:szCs w:val="24"/>
        </w:rPr>
        <w:t xml:space="preserve"> au-dessus de 120</w:t>
      </w:r>
      <w:r w:rsidR="00170C78">
        <w:rPr>
          <w:sz w:val="24"/>
          <w:szCs w:val="24"/>
        </w:rPr>
        <w:t> </w:t>
      </w:r>
      <w:r w:rsidR="006312D8" w:rsidRPr="00D16196">
        <w:rPr>
          <w:sz w:val="24"/>
          <w:szCs w:val="24"/>
        </w:rPr>
        <w:t>%. En d’autres termes, il n’y a pas d’engagement formel du gouvernement à l’effet d’indexer sa part de la rente dans une telle situation. L’article 77.0.2 de la Loi sur le RREGOP permettrait au gouvernement d’indexer la rente à sa charge à son bon vouloir</w:t>
      </w:r>
      <w:r w:rsidR="002F58D8" w:rsidRPr="00D16196">
        <w:rPr>
          <w:sz w:val="24"/>
          <w:szCs w:val="24"/>
        </w:rPr>
        <w:t>. Le gouvernement a jusqu’au 1</w:t>
      </w:r>
      <w:r w:rsidR="002F58D8" w:rsidRPr="00D16196">
        <w:rPr>
          <w:sz w:val="24"/>
          <w:szCs w:val="24"/>
          <w:vertAlign w:val="superscript"/>
        </w:rPr>
        <w:t>er</w:t>
      </w:r>
      <w:r w:rsidR="002F58D8" w:rsidRPr="00D16196">
        <w:rPr>
          <w:sz w:val="24"/>
          <w:szCs w:val="24"/>
        </w:rPr>
        <w:t xml:space="preserve"> juillet 2024 pour décider s’il verse sa part de l’indexation addit</w:t>
      </w:r>
      <w:r w:rsidR="00AA71DF" w:rsidRPr="00D16196">
        <w:rPr>
          <w:sz w:val="24"/>
          <w:szCs w:val="24"/>
        </w:rPr>
        <w:t xml:space="preserve">ionnelle </w:t>
      </w:r>
      <w:r w:rsidR="002F58D8" w:rsidRPr="00D16196">
        <w:rPr>
          <w:sz w:val="24"/>
          <w:szCs w:val="24"/>
        </w:rPr>
        <w:t xml:space="preserve">ou non. </w:t>
      </w:r>
    </w:p>
    <w:p w14:paraId="46556A38" w14:textId="2E3D456D" w:rsidR="005F2F59" w:rsidRDefault="00CE2D68" w:rsidP="005F2F59">
      <w:pPr>
        <w:shd w:val="clear" w:color="auto" w:fill="FFFFFF"/>
        <w:spacing w:after="192"/>
        <w:textAlignment w:val="baseline"/>
        <w:rPr>
          <w:sz w:val="24"/>
          <w:szCs w:val="24"/>
        </w:rPr>
      </w:pPr>
      <w:r w:rsidRPr="00D16196">
        <w:rPr>
          <w:sz w:val="24"/>
          <w:szCs w:val="24"/>
        </w:rPr>
        <w:t xml:space="preserve">L’AREQ revendique depuis près de 13 ans que le gouvernement mette sa part. Plus que jamais, des </w:t>
      </w:r>
      <w:r w:rsidR="0092188F" w:rsidRPr="00D16196">
        <w:rPr>
          <w:sz w:val="24"/>
          <w:szCs w:val="24"/>
        </w:rPr>
        <w:t>pressions seront exercées par l’A</w:t>
      </w:r>
      <w:r w:rsidRPr="00D16196">
        <w:rPr>
          <w:sz w:val="24"/>
          <w:szCs w:val="24"/>
        </w:rPr>
        <w:t>ssociation</w:t>
      </w:r>
      <w:r w:rsidR="0092188F" w:rsidRPr="00D16196">
        <w:rPr>
          <w:sz w:val="24"/>
          <w:szCs w:val="24"/>
        </w:rPr>
        <w:t xml:space="preserve"> pour que le gouvernement s’engage à verser sa part d’indexation. Nous vous en tiendrons informés.</w:t>
      </w:r>
    </w:p>
    <w:p w14:paraId="4BC6FC80" w14:textId="77777777" w:rsidR="005F2F59" w:rsidRPr="005F2F59" w:rsidRDefault="005F2F59" w:rsidP="005F2F59">
      <w:pPr>
        <w:shd w:val="clear" w:color="auto" w:fill="FFFFFF"/>
        <w:spacing w:after="192"/>
        <w:textAlignment w:val="baseline"/>
        <w:rPr>
          <w:sz w:val="24"/>
          <w:szCs w:val="24"/>
        </w:rPr>
      </w:pPr>
    </w:p>
    <w:p w14:paraId="4E4D1125" w14:textId="1AB25436" w:rsidR="00685D41" w:rsidRPr="005F2F59" w:rsidRDefault="00685D41" w:rsidP="005F2F59">
      <w:pPr>
        <w:shd w:val="clear" w:color="auto" w:fill="FFFFFF"/>
        <w:spacing w:after="192"/>
        <w:ind w:left="1416" w:firstLine="708"/>
        <w:textAlignment w:val="baseline"/>
        <w:rPr>
          <w:b/>
          <w:bCs/>
          <w:color w:val="000000"/>
          <w:sz w:val="32"/>
          <w:szCs w:val="32"/>
          <w:lang w:eastAsia="fr-CA"/>
        </w:rPr>
      </w:pPr>
      <w:r w:rsidRPr="005F2F59">
        <w:rPr>
          <w:b/>
          <w:bCs/>
          <w:color w:val="000000"/>
          <w:sz w:val="32"/>
          <w:szCs w:val="32"/>
          <w:lang w:eastAsia="fr-CA"/>
        </w:rPr>
        <w:lastRenderedPageBreak/>
        <w:t>Indexation des années 1982 à 1999</w:t>
      </w:r>
    </w:p>
    <w:p w14:paraId="313145B7" w14:textId="15C5D959" w:rsidR="005F2F59" w:rsidRDefault="00E70275" w:rsidP="002C31D9">
      <w:pPr>
        <w:shd w:val="clear" w:color="auto" w:fill="FFFFFF"/>
        <w:spacing w:after="192"/>
        <w:textAlignment w:val="baseline"/>
      </w:pPr>
      <w:r>
        <w:rPr>
          <w:noProof/>
          <w:color w:val="000000"/>
          <w:sz w:val="24"/>
          <w:szCs w:val="24"/>
          <w:lang w:eastAsia="fr-CA"/>
          <w14:ligatures w14:val="standardContextual"/>
        </w:rPr>
        <w:drawing>
          <wp:inline distT="0" distB="0" distL="0" distR="0" wp14:anchorId="693542B7" wp14:editId="21D548B8">
            <wp:extent cx="5448300" cy="1847850"/>
            <wp:effectExtent l="19050" t="0" r="19050" b="0"/>
            <wp:docPr id="203336890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925B4D" w14:textId="649EF091" w:rsidR="005F2F59" w:rsidRPr="005F2F59" w:rsidRDefault="005F2F59" w:rsidP="00307C19">
      <w:pPr>
        <w:rPr>
          <w:color w:val="808080" w:themeColor="background1" w:themeShade="80"/>
          <w:sz w:val="18"/>
          <w:szCs w:val="18"/>
        </w:rPr>
      </w:pPr>
      <w:r w:rsidRPr="005F2F59">
        <w:rPr>
          <w:color w:val="808080" w:themeColor="background1" w:themeShade="80"/>
          <w:sz w:val="18"/>
          <w:szCs w:val="18"/>
        </w:rPr>
        <w:t>AREQ</w:t>
      </w:r>
    </w:p>
    <w:p w14:paraId="0226DC2C" w14:textId="759C84FC" w:rsidR="005F2F59" w:rsidRPr="005F2F59" w:rsidRDefault="005F2F59" w:rsidP="00307C19">
      <w:pPr>
        <w:rPr>
          <w:color w:val="808080" w:themeColor="background1" w:themeShade="80"/>
          <w:sz w:val="18"/>
          <w:szCs w:val="18"/>
        </w:rPr>
      </w:pPr>
      <w:r w:rsidRPr="005F2F59">
        <w:rPr>
          <w:color w:val="808080" w:themeColor="background1" w:themeShade="80"/>
          <w:sz w:val="18"/>
          <w:szCs w:val="18"/>
        </w:rPr>
        <w:t>Novembre 2023</w:t>
      </w:r>
    </w:p>
    <w:sectPr w:rsidR="005F2F59" w:rsidRPr="005F2F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CBDA" w14:textId="77777777" w:rsidR="00B12D66" w:rsidRDefault="00B12D66" w:rsidP="00FB647C">
      <w:r>
        <w:separator/>
      </w:r>
    </w:p>
  </w:endnote>
  <w:endnote w:type="continuationSeparator" w:id="0">
    <w:p w14:paraId="06EA3817" w14:textId="77777777" w:rsidR="00B12D66" w:rsidRDefault="00B12D66" w:rsidP="00F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8EE8" w14:textId="77777777" w:rsidR="00E70275" w:rsidRDefault="00E70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CBD1" w14:textId="77777777" w:rsidR="00E70275" w:rsidRDefault="00E70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EED0" w14:textId="77777777" w:rsidR="00E70275" w:rsidRDefault="00E702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D634" w14:textId="77777777" w:rsidR="00B12D66" w:rsidRDefault="00B12D66" w:rsidP="00FB647C">
      <w:r>
        <w:separator/>
      </w:r>
    </w:p>
  </w:footnote>
  <w:footnote w:type="continuationSeparator" w:id="0">
    <w:p w14:paraId="195D2C3C" w14:textId="77777777" w:rsidR="00B12D66" w:rsidRDefault="00B12D66" w:rsidP="00FB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C193" w14:textId="77777777" w:rsidR="00E70275" w:rsidRDefault="00E702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1BCA" w14:textId="77777777" w:rsidR="00E70275" w:rsidRDefault="00E702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0B8F" w14:textId="77777777" w:rsidR="00E70275" w:rsidRDefault="00E702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C9"/>
    <w:rsid w:val="000442A1"/>
    <w:rsid w:val="000747F5"/>
    <w:rsid w:val="000A2C59"/>
    <w:rsid w:val="000D1C7A"/>
    <w:rsid w:val="000E0F89"/>
    <w:rsid w:val="000E4A32"/>
    <w:rsid w:val="00144E5E"/>
    <w:rsid w:val="00170C78"/>
    <w:rsid w:val="001B5B7F"/>
    <w:rsid w:val="001C3492"/>
    <w:rsid w:val="00286345"/>
    <w:rsid w:val="002A0AD0"/>
    <w:rsid w:val="002C31D9"/>
    <w:rsid w:val="002E18C9"/>
    <w:rsid w:val="002E4B88"/>
    <w:rsid w:val="002F2D6A"/>
    <w:rsid w:val="002F58D8"/>
    <w:rsid w:val="00307C19"/>
    <w:rsid w:val="0032412D"/>
    <w:rsid w:val="00340A84"/>
    <w:rsid w:val="003461E4"/>
    <w:rsid w:val="00370DBA"/>
    <w:rsid w:val="003755E0"/>
    <w:rsid w:val="00381216"/>
    <w:rsid w:val="00382361"/>
    <w:rsid w:val="003A2496"/>
    <w:rsid w:val="003A2691"/>
    <w:rsid w:val="003A6D71"/>
    <w:rsid w:val="003B3414"/>
    <w:rsid w:val="0040377E"/>
    <w:rsid w:val="0042338D"/>
    <w:rsid w:val="00431BFB"/>
    <w:rsid w:val="00447314"/>
    <w:rsid w:val="004734DD"/>
    <w:rsid w:val="004751FE"/>
    <w:rsid w:val="004953CC"/>
    <w:rsid w:val="005547EE"/>
    <w:rsid w:val="005579BE"/>
    <w:rsid w:val="00571E20"/>
    <w:rsid w:val="00595AB9"/>
    <w:rsid w:val="005F09BC"/>
    <w:rsid w:val="005F2F59"/>
    <w:rsid w:val="006312D8"/>
    <w:rsid w:val="00653E8D"/>
    <w:rsid w:val="00685D41"/>
    <w:rsid w:val="00693BEF"/>
    <w:rsid w:val="006A5A71"/>
    <w:rsid w:val="006F40A3"/>
    <w:rsid w:val="006F575A"/>
    <w:rsid w:val="0072316C"/>
    <w:rsid w:val="00737853"/>
    <w:rsid w:val="0075606E"/>
    <w:rsid w:val="007747A1"/>
    <w:rsid w:val="00793610"/>
    <w:rsid w:val="007A7102"/>
    <w:rsid w:val="007B3F11"/>
    <w:rsid w:val="00801941"/>
    <w:rsid w:val="00831201"/>
    <w:rsid w:val="00864927"/>
    <w:rsid w:val="00877BD5"/>
    <w:rsid w:val="008B5FB3"/>
    <w:rsid w:val="008E580B"/>
    <w:rsid w:val="008E6DB4"/>
    <w:rsid w:val="0092188F"/>
    <w:rsid w:val="009527F8"/>
    <w:rsid w:val="00967E63"/>
    <w:rsid w:val="00974BB2"/>
    <w:rsid w:val="009B46CE"/>
    <w:rsid w:val="009D46CF"/>
    <w:rsid w:val="009D4C62"/>
    <w:rsid w:val="009E2383"/>
    <w:rsid w:val="009F4C0F"/>
    <w:rsid w:val="00A92D5D"/>
    <w:rsid w:val="00AA686F"/>
    <w:rsid w:val="00AA71DF"/>
    <w:rsid w:val="00AB05D2"/>
    <w:rsid w:val="00AD0F59"/>
    <w:rsid w:val="00AE0D57"/>
    <w:rsid w:val="00B112CE"/>
    <w:rsid w:val="00B12D66"/>
    <w:rsid w:val="00B4068D"/>
    <w:rsid w:val="00BD31E1"/>
    <w:rsid w:val="00BF3612"/>
    <w:rsid w:val="00C153FA"/>
    <w:rsid w:val="00C27AFB"/>
    <w:rsid w:val="00C54D99"/>
    <w:rsid w:val="00C57ECF"/>
    <w:rsid w:val="00C704D8"/>
    <w:rsid w:val="00C708EB"/>
    <w:rsid w:val="00C93656"/>
    <w:rsid w:val="00CA5131"/>
    <w:rsid w:val="00CB58A9"/>
    <w:rsid w:val="00CD392F"/>
    <w:rsid w:val="00CD59CC"/>
    <w:rsid w:val="00CE2D68"/>
    <w:rsid w:val="00CE3D3E"/>
    <w:rsid w:val="00D16196"/>
    <w:rsid w:val="00D16F32"/>
    <w:rsid w:val="00D20D18"/>
    <w:rsid w:val="00D63BE4"/>
    <w:rsid w:val="00D8122E"/>
    <w:rsid w:val="00D82D98"/>
    <w:rsid w:val="00D9017E"/>
    <w:rsid w:val="00DA1C45"/>
    <w:rsid w:val="00DD220E"/>
    <w:rsid w:val="00DD64A7"/>
    <w:rsid w:val="00DF2A15"/>
    <w:rsid w:val="00E10B35"/>
    <w:rsid w:val="00E24DEC"/>
    <w:rsid w:val="00E260AA"/>
    <w:rsid w:val="00E70275"/>
    <w:rsid w:val="00E92357"/>
    <w:rsid w:val="00F3157A"/>
    <w:rsid w:val="00F42119"/>
    <w:rsid w:val="00F505E2"/>
    <w:rsid w:val="00FA6698"/>
    <w:rsid w:val="00FB647C"/>
    <w:rsid w:val="00FF64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6492"/>
  <w15:chartTrackingRefBased/>
  <w15:docId w15:val="{657EDB3A-A92F-4A60-B51A-340F6737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C9"/>
    <w:pPr>
      <w:spacing w:after="0" w:line="240" w:lineRule="auto"/>
    </w:pPr>
    <w:rPr>
      <w:rFonts w:ascii="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18C9"/>
    <w:rPr>
      <w:color w:val="0000FF"/>
      <w:u w:val="single"/>
    </w:rPr>
  </w:style>
  <w:style w:type="paragraph" w:styleId="Rvision">
    <w:name w:val="Revision"/>
    <w:hidden/>
    <w:uiPriority w:val="99"/>
    <w:semiHidden/>
    <w:rsid w:val="00FB647C"/>
    <w:pPr>
      <w:spacing w:after="0" w:line="240" w:lineRule="auto"/>
    </w:pPr>
    <w:rPr>
      <w:rFonts w:ascii="Calibri" w:hAnsi="Calibri" w:cs="Calibri"/>
      <w:kern w:val="0"/>
      <w14:ligatures w14:val="none"/>
    </w:rPr>
  </w:style>
  <w:style w:type="paragraph" w:styleId="Notedefin">
    <w:name w:val="endnote text"/>
    <w:basedOn w:val="Normal"/>
    <w:link w:val="NotedefinCar"/>
    <w:uiPriority w:val="99"/>
    <w:semiHidden/>
    <w:unhideWhenUsed/>
    <w:rsid w:val="00FB647C"/>
    <w:rPr>
      <w:sz w:val="20"/>
      <w:szCs w:val="20"/>
    </w:rPr>
  </w:style>
  <w:style w:type="character" w:customStyle="1" w:styleId="NotedefinCar">
    <w:name w:val="Note de fin Car"/>
    <w:basedOn w:val="Policepardfaut"/>
    <w:link w:val="Notedefin"/>
    <w:uiPriority w:val="99"/>
    <w:semiHidden/>
    <w:rsid w:val="00FB647C"/>
    <w:rPr>
      <w:rFonts w:ascii="Calibri" w:hAnsi="Calibri" w:cs="Calibri"/>
      <w:kern w:val="0"/>
      <w:sz w:val="20"/>
      <w:szCs w:val="20"/>
      <w14:ligatures w14:val="none"/>
    </w:rPr>
  </w:style>
  <w:style w:type="character" w:styleId="Appeldenotedefin">
    <w:name w:val="endnote reference"/>
    <w:basedOn w:val="Policepardfaut"/>
    <w:uiPriority w:val="99"/>
    <w:semiHidden/>
    <w:unhideWhenUsed/>
    <w:rsid w:val="00FB647C"/>
    <w:rPr>
      <w:vertAlign w:val="superscript"/>
    </w:rPr>
  </w:style>
  <w:style w:type="paragraph" w:styleId="Notedebasdepage">
    <w:name w:val="footnote text"/>
    <w:basedOn w:val="Normal"/>
    <w:link w:val="NotedebasdepageCar"/>
    <w:uiPriority w:val="99"/>
    <w:semiHidden/>
    <w:unhideWhenUsed/>
    <w:rsid w:val="00FB647C"/>
    <w:rPr>
      <w:sz w:val="20"/>
      <w:szCs w:val="20"/>
    </w:rPr>
  </w:style>
  <w:style w:type="character" w:customStyle="1" w:styleId="NotedebasdepageCar">
    <w:name w:val="Note de bas de page Car"/>
    <w:basedOn w:val="Policepardfaut"/>
    <w:link w:val="Notedebasdepage"/>
    <w:uiPriority w:val="99"/>
    <w:semiHidden/>
    <w:rsid w:val="00FB647C"/>
    <w:rPr>
      <w:rFonts w:ascii="Calibri" w:hAnsi="Calibri" w:cs="Calibri"/>
      <w:kern w:val="0"/>
      <w:sz w:val="20"/>
      <w:szCs w:val="20"/>
      <w14:ligatures w14:val="none"/>
    </w:rPr>
  </w:style>
  <w:style w:type="character" w:styleId="Appelnotedebasdep">
    <w:name w:val="footnote reference"/>
    <w:basedOn w:val="Policepardfaut"/>
    <w:uiPriority w:val="99"/>
    <w:semiHidden/>
    <w:unhideWhenUsed/>
    <w:rsid w:val="00FB647C"/>
    <w:rPr>
      <w:vertAlign w:val="superscript"/>
    </w:rPr>
  </w:style>
  <w:style w:type="paragraph" w:styleId="NormalWeb">
    <w:name w:val="Normal (Web)"/>
    <w:basedOn w:val="Normal"/>
    <w:uiPriority w:val="99"/>
    <w:semiHidden/>
    <w:unhideWhenUsed/>
    <w:rsid w:val="00AB05D2"/>
    <w:pPr>
      <w:spacing w:after="240"/>
    </w:pPr>
    <w:rPr>
      <w:lang w:eastAsia="fr-CA"/>
    </w:rPr>
  </w:style>
  <w:style w:type="paragraph" w:styleId="En-tte">
    <w:name w:val="header"/>
    <w:basedOn w:val="Normal"/>
    <w:link w:val="En-tteCar"/>
    <w:uiPriority w:val="99"/>
    <w:unhideWhenUsed/>
    <w:rsid w:val="00E70275"/>
    <w:pPr>
      <w:tabs>
        <w:tab w:val="center" w:pos="4703"/>
        <w:tab w:val="right" w:pos="9406"/>
      </w:tabs>
    </w:pPr>
  </w:style>
  <w:style w:type="character" w:customStyle="1" w:styleId="En-tteCar">
    <w:name w:val="En-tête Car"/>
    <w:basedOn w:val="Policepardfaut"/>
    <w:link w:val="En-tte"/>
    <w:uiPriority w:val="99"/>
    <w:rsid w:val="00E70275"/>
    <w:rPr>
      <w:rFonts w:ascii="Calibri" w:hAnsi="Calibri" w:cs="Calibri"/>
      <w:kern w:val="0"/>
      <w14:ligatures w14:val="none"/>
    </w:rPr>
  </w:style>
  <w:style w:type="paragraph" w:styleId="Pieddepage">
    <w:name w:val="footer"/>
    <w:basedOn w:val="Normal"/>
    <w:link w:val="PieddepageCar"/>
    <w:uiPriority w:val="99"/>
    <w:unhideWhenUsed/>
    <w:rsid w:val="00E70275"/>
    <w:pPr>
      <w:tabs>
        <w:tab w:val="center" w:pos="4703"/>
        <w:tab w:val="right" w:pos="9406"/>
      </w:tabs>
    </w:pPr>
  </w:style>
  <w:style w:type="character" w:customStyle="1" w:styleId="PieddepageCar">
    <w:name w:val="Pied de page Car"/>
    <w:basedOn w:val="Policepardfaut"/>
    <w:link w:val="Pieddepage"/>
    <w:uiPriority w:val="99"/>
    <w:rsid w:val="00E70275"/>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7614">
      <w:bodyDiv w:val="1"/>
      <w:marLeft w:val="0"/>
      <w:marRight w:val="0"/>
      <w:marTop w:val="0"/>
      <w:marBottom w:val="0"/>
      <w:divBdr>
        <w:top w:val="none" w:sz="0" w:space="0" w:color="auto"/>
        <w:left w:val="none" w:sz="0" w:space="0" w:color="auto"/>
        <w:bottom w:val="none" w:sz="0" w:space="0" w:color="auto"/>
        <w:right w:val="none" w:sz="0" w:space="0" w:color="auto"/>
      </w:divBdr>
    </w:div>
    <w:div w:id="12576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62CE54-9DED-4BC6-A1BF-F4E295C30E69}" type="doc">
      <dgm:prSet loTypeId="urn:microsoft.com/office/officeart/2005/8/layout/process3" loCatId="process" qsTypeId="urn:microsoft.com/office/officeart/2005/8/quickstyle/simple1" qsCatId="simple" csTypeId="urn:microsoft.com/office/officeart/2005/8/colors/accent6_3" csCatId="accent6" phldr="1"/>
      <dgm:spPr/>
      <dgm:t>
        <a:bodyPr/>
        <a:lstStyle/>
        <a:p>
          <a:endParaRPr lang="fr-CA"/>
        </a:p>
      </dgm:t>
    </dgm:pt>
    <dgm:pt modelId="{A70D6CF3-7F2F-4B37-81B2-8D96675CB46F}">
      <dgm:prSet phldrT="[Texte]"/>
      <dgm:spPr/>
      <dgm:t>
        <a:bodyPr/>
        <a:lstStyle/>
        <a:p>
          <a:r>
            <a:rPr lang="fr-CA"/>
            <a:t>1</a:t>
          </a:r>
          <a:r>
            <a:rPr lang="fr-CA" baseline="30000"/>
            <a:t>er</a:t>
          </a:r>
          <a:r>
            <a:rPr lang="fr-CA"/>
            <a:t> janv. 2024	</a:t>
          </a:r>
        </a:p>
      </dgm:t>
    </dgm:pt>
    <dgm:pt modelId="{57D51BC6-2AA5-4A12-9D45-03F36C895F5F}" type="parTrans" cxnId="{A13E1CED-DD28-427D-9100-17E927AF2E76}">
      <dgm:prSet/>
      <dgm:spPr/>
      <dgm:t>
        <a:bodyPr/>
        <a:lstStyle/>
        <a:p>
          <a:endParaRPr lang="fr-CA"/>
        </a:p>
      </dgm:t>
    </dgm:pt>
    <dgm:pt modelId="{AABC7E04-D2EC-4A77-BBAD-34ECD34AAEC8}" type="sibTrans" cxnId="{A13E1CED-DD28-427D-9100-17E927AF2E76}">
      <dgm:prSet/>
      <dgm:spPr/>
      <dgm:t>
        <a:bodyPr/>
        <a:lstStyle/>
        <a:p>
          <a:endParaRPr lang="fr-CA"/>
        </a:p>
      </dgm:t>
    </dgm:pt>
    <dgm:pt modelId="{0532183C-C43B-4721-B142-EE6088F4798F}">
      <dgm:prSet phldrT="[Texte]"/>
      <dgm:spPr/>
      <dgm:t>
        <a:bodyPr/>
        <a:lstStyle/>
        <a:p>
          <a:r>
            <a:rPr lang="fr-CA"/>
            <a:t>Indexation régulière: 1,4 % 	</a:t>
          </a:r>
        </a:p>
      </dgm:t>
    </dgm:pt>
    <dgm:pt modelId="{8A755D44-8995-41F0-854D-64ABBDF6D488}" type="parTrans" cxnId="{31EC0B16-6A16-4A17-8F61-6DF40522459D}">
      <dgm:prSet/>
      <dgm:spPr/>
      <dgm:t>
        <a:bodyPr/>
        <a:lstStyle/>
        <a:p>
          <a:endParaRPr lang="fr-CA"/>
        </a:p>
      </dgm:t>
    </dgm:pt>
    <dgm:pt modelId="{E2DD9F25-EE87-4448-A886-58B621777693}" type="sibTrans" cxnId="{31EC0B16-6A16-4A17-8F61-6DF40522459D}">
      <dgm:prSet/>
      <dgm:spPr/>
      <dgm:t>
        <a:bodyPr/>
        <a:lstStyle/>
        <a:p>
          <a:endParaRPr lang="fr-CA"/>
        </a:p>
      </dgm:t>
    </dgm:pt>
    <dgm:pt modelId="{41009BC9-EA13-40FE-9A12-30239146A709}">
      <dgm:prSet phldrT="[Texte]"/>
      <dgm:spPr/>
      <dgm:t>
        <a:bodyPr/>
        <a:lstStyle/>
        <a:p>
          <a:r>
            <a:rPr lang="fr-CA"/>
            <a:t>1</a:t>
          </a:r>
          <a:r>
            <a:rPr lang="fr-CA" baseline="30000"/>
            <a:t>er</a:t>
          </a:r>
          <a:r>
            <a:rPr lang="fr-CA"/>
            <a:t> juill. 2024	</a:t>
          </a:r>
        </a:p>
      </dgm:t>
    </dgm:pt>
    <dgm:pt modelId="{18C2AAF2-4A6A-4DA4-BC5A-EF731505D67A}" type="parTrans" cxnId="{79A879FF-5BDE-42B5-B9E3-A09B7E2EA3BB}">
      <dgm:prSet/>
      <dgm:spPr/>
      <dgm:t>
        <a:bodyPr/>
        <a:lstStyle/>
        <a:p>
          <a:endParaRPr lang="fr-CA"/>
        </a:p>
      </dgm:t>
    </dgm:pt>
    <dgm:pt modelId="{20AE53D4-9074-4540-A715-FAD0EDCAE560}" type="sibTrans" cxnId="{79A879FF-5BDE-42B5-B9E3-A09B7E2EA3BB}">
      <dgm:prSet/>
      <dgm:spPr/>
      <dgm:t>
        <a:bodyPr/>
        <a:lstStyle/>
        <a:p>
          <a:endParaRPr lang="fr-CA"/>
        </a:p>
      </dgm:t>
    </dgm:pt>
    <dgm:pt modelId="{44304FA4-692C-4592-858D-C3B7BF42D9CC}">
      <dgm:prSet phldrT="[Texte]"/>
      <dgm:spPr/>
      <dgm:t>
        <a:bodyPr/>
        <a:lstStyle/>
        <a:p>
          <a:r>
            <a:rPr lang="fr-CA"/>
            <a:t>Décision du gouvernement de verser sa part ou non</a:t>
          </a:r>
        </a:p>
      </dgm:t>
    </dgm:pt>
    <dgm:pt modelId="{25D4E042-8AB2-48FF-8D90-D2698DB44634}" type="parTrans" cxnId="{A8C54BAC-2192-49AB-9D17-677145B8C6ED}">
      <dgm:prSet/>
      <dgm:spPr/>
      <dgm:t>
        <a:bodyPr/>
        <a:lstStyle/>
        <a:p>
          <a:endParaRPr lang="fr-CA"/>
        </a:p>
      </dgm:t>
    </dgm:pt>
    <dgm:pt modelId="{B3F359EF-F016-4C7A-86A7-8DD27A3CE5BD}" type="sibTrans" cxnId="{A8C54BAC-2192-49AB-9D17-677145B8C6ED}">
      <dgm:prSet/>
      <dgm:spPr/>
      <dgm:t>
        <a:bodyPr/>
        <a:lstStyle/>
        <a:p>
          <a:endParaRPr lang="fr-CA"/>
        </a:p>
      </dgm:t>
    </dgm:pt>
    <dgm:pt modelId="{FC0FB224-BB67-4F9A-9258-D5C668B0D558}">
      <dgm:prSet phldrT="[Texte]"/>
      <dgm:spPr/>
      <dgm:t>
        <a:bodyPr/>
        <a:lstStyle/>
        <a:p>
          <a:r>
            <a:rPr lang="fr-CA"/>
            <a:t>Vers août 2024</a:t>
          </a:r>
        </a:p>
      </dgm:t>
    </dgm:pt>
    <dgm:pt modelId="{3487C8B8-538C-434D-8D4A-4D0CDD72B420}" type="parTrans" cxnId="{4BB98348-3B85-4E24-86F3-5E59C5618380}">
      <dgm:prSet/>
      <dgm:spPr/>
      <dgm:t>
        <a:bodyPr/>
        <a:lstStyle/>
        <a:p>
          <a:endParaRPr lang="fr-CA"/>
        </a:p>
      </dgm:t>
    </dgm:pt>
    <dgm:pt modelId="{67328D53-8D89-4852-BEA7-EC8D020C51E5}" type="sibTrans" cxnId="{4BB98348-3B85-4E24-86F3-5E59C5618380}">
      <dgm:prSet/>
      <dgm:spPr/>
      <dgm:t>
        <a:bodyPr/>
        <a:lstStyle/>
        <a:p>
          <a:endParaRPr lang="fr-CA"/>
        </a:p>
      </dgm:t>
    </dgm:pt>
    <dgm:pt modelId="{23F3BFC2-EDEB-47E0-ACF0-76F36B0D303E}">
      <dgm:prSet phldrT="[Texte]"/>
      <dgm:spPr/>
      <dgm:t>
        <a:bodyPr/>
        <a:lstStyle/>
        <a:p>
          <a:r>
            <a:rPr lang="fr-CA"/>
            <a:t>Indexation additionnelle: 08 % (rétroactive au 1er janv 2024</a:t>
          </a:r>
        </a:p>
      </dgm:t>
    </dgm:pt>
    <dgm:pt modelId="{903AE5E2-A522-462F-AF12-6E7323CE1FF7}" type="parTrans" cxnId="{C28CC110-2EFB-440A-B9AF-61B1992B9448}">
      <dgm:prSet/>
      <dgm:spPr/>
      <dgm:t>
        <a:bodyPr/>
        <a:lstStyle/>
        <a:p>
          <a:endParaRPr lang="fr-CA"/>
        </a:p>
      </dgm:t>
    </dgm:pt>
    <dgm:pt modelId="{C7139B0A-6EF6-47C9-AB2E-0BB805F5EAD7}" type="sibTrans" cxnId="{C28CC110-2EFB-440A-B9AF-61B1992B9448}">
      <dgm:prSet/>
      <dgm:spPr/>
      <dgm:t>
        <a:bodyPr/>
        <a:lstStyle/>
        <a:p>
          <a:endParaRPr lang="fr-CA"/>
        </a:p>
      </dgm:t>
    </dgm:pt>
    <dgm:pt modelId="{7C81BE73-75AF-4153-93DC-5F2246757610}" type="pres">
      <dgm:prSet presAssocID="{1662CE54-9DED-4BC6-A1BF-F4E295C30E69}" presName="linearFlow" presStyleCnt="0">
        <dgm:presLayoutVars>
          <dgm:dir/>
          <dgm:animLvl val="lvl"/>
          <dgm:resizeHandles val="exact"/>
        </dgm:presLayoutVars>
      </dgm:prSet>
      <dgm:spPr/>
    </dgm:pt>
    <dgm:pt modelId="{60F2BF4F-56AF-4DB1-B87A-D8512E56DC91}" type="pres">
      <dgm:prSet presAssocID="{A70D6CF3-7F2F-4B37-81B2-8D96675CB46F}" presName="composite" presStyleCnt="0"/>
      <dgm:spPr/>
    </dgm:pt>
    <dgm:pt modelId="{8EEB2165-F105-434E-9975-87C9C09CD472}" type="pres">
      <dgm:prSet presAssocID="{A70D6CF3-7F2F-4B37-81B2-8D96675CB46F}" presName="parTx" presStyleLbl="node1" presStyleIdx="0" presStyleCnt="3">
        <dgm:presLayoutVars>
          <dgm:chMax val="0"/>
          <dgm:chPref val="0"/>
          <dgm:bulletEnabled val="1"/>
        </dgm:presLayoutVars>
      </dgm:prSet>
      <dgm:spPr/>
    </dgm:pt>
    <dgm:pt modelId="{9DD7AEC2-6DF0-4D05-B162-B8CA827B8DA4}" type="pres">
      <dgm:prSet presAssocID="{A70D6CF3-7F2F-4B37-81B2-8D96675CB46F}" presName="parSh" presStyleLbl="node1" presStyleIdx="0" presStyleCnt="3"/>
      <dgm:spPr/>
    </dgm:pt>
    <dgm:pt modelId="{C9F891C8-C439-4C89-96E0-0604BB025AC2}" type="pres">
      <dgm:prSet presAssocID="{A70D6CF3-7F2F-4B37-81B2-8D96675CB46F}" presName="desTx" presStyleLbl="fgAcc1" presStyleIdx="0" presStyleCnt="3" custScaleX="113984">
        <dgm:presLayoutVars>
          <dgm:bulletEnabled val="1"/>
        </dgm:presLayoutVars>
      </dgm:prSet>
      <dgm:spPr/>
    </dgm:pt>
    <dgm:pt modelId="{73D0B764-E01E-4E5D-B0C4-5169F70FD81A}" type="pres">
      <dgm:prSet presAssocID="{AABC7E04-D2EC-4A77-BBAD-34ECD34AAEC8}" presName="sibTrans" presStyleLbl="sibTrans2D1" presStyleIdx="0" presStyleCnt="2"/>
      <dgm:spPr/>
    </dgm:pt>
    <dgm:pt modelId="{56CFF1E4-0D92-46FB-B7D9-D7A376284890}" type="pres">
      <dgm:prSet presAssocID="{AABC7E04-D2EC-4A77-BBAD-34ECD34AAEC8}" presName="connTx" presStyleLbl="sibTrans2D1" presStyleIdx="0" presStyleCnt="2"/>
      <dgm:spPr/>
    </dgm:pt>
    <dgm:pt modelId="{9C70DAF4-2D38-4337-8C77-7A6628FB809B}" type="pres">
      <dgm:prSet presAssocID="{41009BC9-EA13-40FE-9A12-30239146A709}" presName="composite" presStyleCnt="0"/>
      <dgm:spPr/>
    </dgm:pt>
    <dgm:pt modelId="{8F112012-00F9-4CD7-BD3F-A8A8C02A4070}" type="pres">
      <dgm:prSet presAssocID="{41009BC9-EA13-40FE-9A12-30239146A709}" presName="parTx" presStyleLbl="node1" presStyleIdx="0" presStyleCnt="3">
        <dgm:presLayoutVars>
          <dgm:chMax val="0"/>
          <dgm:chPref val="0"/>
          <dgm:bulletEnabled val="1"/>
        </dgm:presLayoutVars>
      </dgm:prSet>
      <dgm:spPr/>
    </dgm:pt>
    <dgm:pt modelId="{88A43D19-9CF6-45BA-974E-FF1FED649CA2}" type="pres">
      <dgm:prSet presAssocID="{41009BC9-EA13-40FE-9A12-30239146A709}" presName="parSh" presStyleLbl="node1" presStyleIdx="1" presStyleCnt="3"/>
      <dgm:spPr/>
    </dgm:pt>
    <dgm:pt modelId="{C3916DD4-B87D-4F69-A218-488F1EBF8E20}" type="pres">
      <dgm:prSet presAssocID="{41009BC9-EA13-40FE-9A12-30239146A709}" presName="desTx" presStyleLbl="fgAcc1" presStyleIdx="1" presStyleCnt="3" custScaleX="119138">
        <dgm:presLayoutVars>
          <dgm:bulletEnabled val="1"/>
        </dgm:presLayoutVars>
      </dgm:prSet>
      <dgm:spPr/>
    </dgm:pt>
    <dgm:pt modelId="{AD787B4E-0D23-4F9D-B1C2-3D58C088E510}" type="pres">
      <dgm:prSet presAssocID="{20AE53D4-9074-4540-A715-FAD0EDCAE560}" presName="sibTrans" presStyleLbl="sibTrans2D1" presStyleIdx="1" presStyleCnt="2"/>
      <dgm:spPr/>
    </dgm:pt>
    <dgm:pt modelId="{64B17E02-6707-4DAA-92B4-51B732A1DBA8}" type="pres">
      <dgm:prSet presAssocID="{20AE53D4-9074-4540-A715-FAD0EDCAE560}" presName="connTx" presStyleLbl="sibTrans2D1" presStyleIdx="1" presStyleCnt="2"/>
      <dgm:spPr/>
    </dgm:pt>
    <dgm:pt modelId="{F6F618EA-3491-4CF5-B8DA-3CD5FE59A053}" type="pres">
      <dgm:prSet presAssocID="{FC0FB224-BB67-4F9A-9258-D5C668B0D558}" presName="composite" presStyleCnt="0"/>
      <dgm:spPr/>
    </dgm:pt>
    <dgm:pt modelId="{05DD904C-FC24-4527-A9BB-32D2274866B7}" type="pres">
      <dgm:prSet presAssocID="{FC0FB224-BB67-4F9A-9258-D5C668B0D558}" presName="parTx" presStyleLbl="node1" presStyleIdx="1" presStyleCnt="3">
        <dgm:presLayoutVars>
          <dgm:chMax val="0"/>
          <dgm:chPref val="0"/>
          <dgm:bulletEnabled val="1"/>
        </dgm:presLayoutVars>
      </dgm:prSet>
      <dgm:spPr/>
    </dgm:pt>
    <dgm:pt modelId="{89656AF0-8295-4023-9B3E-3849663FE877}" type="pres">
      <dgm:prSet presAssocID="{FC0FB224-BB67-4F9A-9258-D5C668B0D558}" presName="parSh" presStyleLbl="node1" presStyleIdx="2" presStyleCnt="3"/>
      <dgm:spPr/>
    </dgm:pt>
    <dgm:pt modelId="{BF859EA0-DA08-4F70-90E0-4E5BEF0E0E9E}" type="pres">
      <dgm:prSet presAssocID="{FC0FB224-BB67-4F9A-9258-D5C668B0D558}" presName="desTx" presStyleLbl="fgAcc1" presStyleIdx="2" presStyleCnt="3" custScaleX="118846">
        <dgm:presLayoutVars>
          <dgm:bulletEnabled val="1"/>
        </dgm:presLayoutVars>
      </dgm:prSet>
      <dgm:spPr/>
    </dgm:pt>
  </dgm:ptLst>
  <dgm:cxnLst>
    <dgm:cxn modelId="{C1CB070F-BA72-4C36-900A-B35F5ED1EE83}" type="presOf" srcId="{A70D6CF3-7F2F-4B37-81B2-8D96675CB46F}" destId="{9DD7AEC2-6DF0-4D05-B162-B8CA827B8DA4}" srcOrd="1" destOrd="0" presId="urn:microsoft.com/office/officeart/2005/8/layout/process3"/>
    <dgm:cxn modelId="{C28CC110-2EFB-440A-B9AF-61B1992B9448}" srcId="{FC0FB224-BB67-4F9A-9258-D5C668B0D558}" destId="{23F3BFC2-EDEB-47E0-ACF0-76F36B0D303E}" srcOrd="0" destOrd="0" parTransId="{903AE5E2-A522-462F-AF12-6E7323CE1FF7}" sibTransId="{C7139B0A-6EF6-47C9-AB2E-0BB805F5EAD7}"/>
    <dgm:cxn modelId="{31EC0B16-6A16-4A17-8F61-6DF40522459D}" srcId="{A70D6CF3-7F2F-4B37-81B2-8D96675CB46F}" destId="{0532183C-C43B-4721-B142-EE6088F4798F}" srcOrd="0" destOrd="0" parTransId="{8A755D44-8995-41F0-854D-64ABBDF6D488}" sibTransId="{E2DD9F25-EE87-4448-A886-58B621777693}"/>
    <dgm:cxn modelId="{1499EE1C-4316-46D0-8231-6B1394752E90}" type="presOf" srcId="{20AE53D4-9074-4540-A715-FAD0EDCAE560}" destId="{64B17E02-6707-4DAA-92B4-51B732A1DBA8}" srcOrd="1" destOrd="0" presId="urn:microsoft.com/office/officeart/2005/8/layout/process3"/>
    <dgm:cxn modelId="{9AF6C82F-300E-476A-A5F7-6372F844DA48}" type="presOf" srcId="{AABC7E04-D2EC-4A77-BBAD-34ECD34AAEC8}" destId="{73D0B764-E01E-4E5D-B0C4-5169F70FD81A}" srcOrd="0" destOrd="0" presId="urn:microsoft.com/office/officeart/2005/8/layout/process3"/>
    <dgm:cxn modelId="{FE7E8C31-85B5-4E22-A057-62F0B58B1319}" type="presOf" srcId="{23F3BFC2-EDEB-47E0-ACF0-76F36B0D303E}" destId="{BF859EA0-DA08-4F70-90E0-4E5BEF0E0E9E}" srcOrd="0" destOrd="0" presId="urn:microsoft.com/office/officeart/2005/8/layout/process3"/>
    <dgm:cxn modelId="{EA317438-4CF7-49D5-BA02-40244B7D7239}" type="presOf" srcId="{1662CE54-9DED-4BC6-A1BF-F4E295C30E69}" destId="{7C81BE73-75AF-4153-93DC-5F2246757610}" srcOrd="0" destOrd="0" presId="urn:microsoft.com/office/officeart/2005/8/layout/process3"/>
    <dgm:cxn modelId="{23D9CC42-76A5-4149-96DE-B781AB8E2E11}" type="presOf" srcId="{44304FA4-692C-4592-858D-C3B7BF42D9CC}" destId="{C3916DD4-B87D-4F69-A218-488F1EBF8E20}" srcOrd="0" destOrd="0" presId="urn:microsoft.com/office/officeart/2005/8/layout/process3"/>
    <dgm:cxn modelId="{4BB98348-3B85-4E24-86F3-5E59C5618380}" srcId="{1662CE54-9DED-4BC6-A1BF-F4E295C30E69}" destId="{FC0FB224-BB67-4F9A-9258-D5C668B0D558}" srcOrd="2" destOrd="0" parTransId="{3487C8B8-538C-434D-8D4A-4D0CDD72B420}" sibTransId="{67328D53-8D89-4852-BEA7-EC8D020C51E5}"/>
    <dgm:cxn modelId="{07EBFE94-3A40-47CA-A7FE-C179BCCF7ED9}" type="presOf" srcId="{AABC7E04-D2EC-4A77-BBAD-34ECD34AAEC8}" destId="{56CFF1E4-0D92-46FB-B7D9-D7A376284890}" srcOrd="1" destOrd="0" presId="urn:microsoft.com/office/officeart/2005/8/layout/process3"/>
    <dgm:cxn modelId="{2880F29F-A228-4390-9D84-5ADAF7098349}" type="presOf" srcId="{A70D6CF3-7F2F-4B37-81B2-8D96675CB46F}" destId="{8EEB2165-F105-434E-9975-87C9C09CD472}" srcOrd="0" destOrd="0" presId="urn:microsoft.com/office/officeart/2005/8/layout/process3"/>
    <dgm:cxn modelId="{A8C54BAC-2192-49AB-9D17-677145B8C6ED}" srcId="{41009BC9-EA13-40FE-9A12-30239146A709}" destId="{44304FA4-692C-4592-858D-C3B7BF42D9CC}" srcOrd="0" destOrd="0" parTransId="{25D4E042-8AB2-48FF-8D90-D2698DB44634}" sibTransId="{B3F359EF-F016-4C7A-86A7-8DD27A3CE5BD}"/>
    <dgm:cxn modelId="{39B2F2AD-39D8-49B6-87A9-DCD5F2D98F70}" type="presOf" srcId="{20AE53D4-9074-4540-A715-FAD0EDCAE560}" destId="{AD787B4E-0D23-4F9D-B1C2-3D58C088E510}" srcOrd="0" destOrd="0" presId="urn:microsoft.com/office/officeart/2005/8/layout/process3"/>
    <dgm:cxn modelId="{6E1928BE-6A1D-41E1-ADD7-057885AE81BE}" type="presOf" srcId="{41009BC9-EA13-40FE-9A12-30239146A709}" destId="{88A43D19-9CF6-45BA-974E-FF1FED649CA2}" srcOrd="1" destOrd="0" presId="urn:microsoft.com/office/officeart/2005/8/layout/process3"/>
    <dgm:cxn modelId="{AEC040CA-1021-4642-BDAB-7F2A470E3252}" type="presOf" srcId="{41009BC9-EA13-40FE-9A12-30239146A709}" destId="{8F112012-00F9-4CD7-BD3F-A8A8C02A4070}" srcOrd="0" destOrd="0" presId="urn:microsoft.com/office/officeart/2005/8/layout/process3"/>
    <dgm:cxn modelId="{17EBA2DA-ED5D-464C-89B2-DF25212EE490}" type="presOf" srcId="{FC0FB224-BB67-4F9A-9258-D5C668B0D558}" destId="{05DD904C-FC24-4527-A9BB-32D2274866B7}" srcOrd="0" destOrd="0" presId="urn:microsoft.com/office/officeart/2005/8/layout/process3"/>
    <dgm:cxn modelId="{423C8BE8-BBE3-4D6E-A8E6-8C910948B86A}" type="presOf" srcId="{FC0FB224-BB67-4F9A-9258-D5C668B0D558}" destId="{89656AF0-8295-4023-9B3E-3849663FE877}" srcOrd="1" destOrd="0" presId="urn:microsoft.com/office/officeart/2005/8/layout/process3"/>
    <dgm:cxn modelId="{A13E1CED-DD28-427D-9100-17E927AF2E76}" srcId="{1662CE54-9DED-4BC6-A1BF-F4E295C30E69}" destId="{A70D6CF3-7F2F-4B37-81B2-8D96675CB46F}" srcOrd="0" destOrd="0" parTransId="{57D51BC6-2AA5-4A12-9D45-03F36C895F5F}" sibTransId="{AABC7E04-D2EC-4A77-BBAD-34ECD34AAEC8}"/>
    <dgm:cxn modelId="{FF6C71EF-C358-4B55-A980-2A5674D4D1DC}" type="presOf" srcId="{0532183C-C43B-4721-B142-EE6088F4798F}" destId="{C9F891C8-C439-4C89-96E0-0604BB025AC2}" srcOrd="0" destOrd="0" presId="urn:microsoft.com/office/officeart/2005/8/layout/process3"/>
    <dgm:cxn modelId="{79A879FF-5BDE-42B5-B9E3-A09B7E2EA3BB}" srcId="{1662CE54-9DED-4BC6-A1BF-F4E295C30E69}" destId="{41009BC9-EA13-40FE-9A12-30239146A709}" srcOrd="1" destOrd="0" parTransId="{18C2AAF2-4A6A-4DA4-BC5A-EF731505D67A}" sibTransId="{20AE53D4-9074-4540-A715-FAD0EDCAE560}"/>
    <dgm:cxn modelId="{926FFCEB-432A-42A0-B831-962421CD931B}" type="presParOf" srcId="{7C81BE73-75AF-4153-93DC-5F2246757610}" destId="{60F2BF4F-56AF-4DB1-B87A-D8512E56DC91}" srcOrd="0" destOrd="0" presId="urn:microsoft.com/office/officeart/2005/8/layout/process3"/>
    <dgm:cxn modelId="{D63D1F20-3A0D-424A-AAE7-A1EEECBCE0A4}" type="presParOf" srcId="{60F2BF4F-56AF-4DB1-B87A-D8512E56DC91}" destId="{8EEB2165-F105-434E-9975-87C9C09CD472}" srcOrd="0" destOrd="0" presId="urn:microsoft.com/office/officeart/2005/8/layout/process3"/>
    <dgm:cxn modelId="{297FB4F5-2619-4E30-BA15-6FAA559FF0AE}" type="presParOf" srcId="{60F2BF4F-56AF-4DB1-B87A-D8512E56DC91}" destId="{9DD7AEC2-6DF0-4D05-B162-B8CA827B8DA4}" srcOrd="1" destOrd="0" presId="urn:microsoft.com/office/officeart/2005/8/layout/process3"/>
    <dgm:cxn modelId="{5E644703-B8E8-4F3E-9C06-FE73D2E81436}" type="presParOf" srcId="{60F2BF4F-56AF-4DB1-B87A-D8512E56DC91}" destId="{C9F891C8-C439-4C89-96E0-0604BB025AC2}" srcOrd="2" destOrd="0" presId="urn:microsoft.com/office/officeart/2005/8/layout/process3"/>
    <dgm:cxn modelId="{5F5D27AB-D9E9-488F-85F5-5853DE04AD4B}" type="presParOf" srcId="{7C81BE73-75AF-4153-93DC-5F2246757610}" destId="{73D0B764-E01E-4E5D-B0C4-5169F70FD81A}" srcOrd="1" destOrd="0" presId="urn:microsoft.com/office/officeart/2005/8/layout/process3"/>
    <dgm:cxn modelId="{31A04425-AD2A-4F9D-9A1D-0145D5A8A36A}" type="presParOf" srcId="{73D0B764-E01E-4E5D-B0C4-5169F70FD81A}" destId="{56CFF1E4-0D92-46FB-B7D9-D7A376284890}" srcOrd="0" destOrd="0" presId="urn:microsoft.com/office/officeart/2005/8/layout/process3"/>
    <dgm:cxn modelId="{ACA75D09-D79D-4649-8ECD-3428AD1C54E1}" type="presParOf" srcId="{7C81BE73-75AF-4153-93DC-5F2246757610}" destId="{9C70DAF4-2D38-4337-8C77-7A6628FB809B}" srcOrd="2" destOrd="0" presId="urn:microsoft.com/office/officeart/2005/8/layout/process3"/>
    <dgm:cxn modelId="{6CF6E152-5685-4E20-9CC3-4AD89264B7A7}" type="presParOf" srcId="{9C70DAF4-2D38-4337-8C77-7A6628FB809B}" destId="{8F112012-00F9-4CD7-BD3F-A8A8C02A4070}" srcOrd="0" destOrd="0" presId="urn:microsoft.com/office/officeart/2005/8/layout/process3"/>
    <dgm:cxn modelId="{FE6837D2-06D5-4539-8BAA-579E89F9D222}" type="presParOf" srcId="{9C70DAF4-2D38-4337-8C77-7A6628FB809B}" destId="{88A43D19-9CF6-45BA-974E-FF1FED649CA2}" srcOrd="1" destOrd="0" presId="urn:microsoft.com/office/officeart/2005/8/layout/process3"/>
    <dgm:cxn modelId="{BFF65AC7-B0CC-4135-BD3B-A95678AB186A}" type="presParOf" srcId="{9C70DAF4-2D38-4337-8C77-7A6628FB809B}" destId="{C3916DD4-B87D-4F69-A218-488F1EBF8E20}" srcOrd="2" destOrd="0" presId="urn:microsoft.com/office/officeart/2005/8/layout/process3"/>
    <dgm:cxn modelId="{5619FC8D-2900-40AB-9A3E-C38F5A5F6BDE}" type="presParOf" srcId="{7C81BE73-75AF-4153-93DC-5F2246757610}" destId="{AD787B4E-0D23-4F9D-B1C2-3D58C088E510}" srcOrd="3" destOrd="0" presId="urn:microsoft.com/office/officeart/2005/8/layout/process3"/>
    <dgm:cxn modelId="{A680A022-4921-4CBC-9DDF-0BE759405149}" type="presParOf" srcId="{AD787B4E-0D23-4F9D-B1C2-3D58C088E510}" destId="{64B17E02-6707-4DAA-92B4-51B732A1DBA8}" srcOrd="0" destOrd="0" presId="urn:microsoft.com/office/officeart/2005/8/layout/process3"/>
    <dgm:cxn modelId="{6207087D-22FD-45B1-B252-385EDB82AC91}" type="presParOf" srcId="{7C81BE73-75AF-4153-93DC-5F2246757610}" destId="{F6F618EA-3491-4CF5-B8DA-3CD5FE59A053}" srcOrd="4" destOrd="0" presId="urn:microsoft.com/office/officeart/2005/8/layout/process3"/>
    <dgm:cxn modelId="{76E6CA42-BCBA-430E-8EAB-8DA232392CEB}" type="presParOf" srcId="{F6F618EA-3491-4CF5-B8DA-3CD5FE59A053}" destId="{05DD904C-FC24-4527-A9BB-32D2274866B7}" srcOrd="0" destOrd="0" presId="urn:microsoft.com/office/officeart/2005/8/layout/process3"/>
    <dgm:cxn modelId="{EDB7D6BE-8FCF-4616-9803-5DD0BBC1781B}" type="presParOf" srcId="{F6F618EA-3491-4CF5-B8DA-3CD5FE59A053}" destId="{89656AF0-8295-4023-9B3E-3849663FE877}" srcOrd="1" destOrd="0" presId="urn:microsoft.com/office/officeart/2005/8/layout/process3"/>
    <dgm:cxn modelId="{20BA50B9-115B-4E13-8D3D-E09B35366D91}" type="presParOf" srcId="{F6F618EA-3491-4CF5-B8DA-3CD5FE59A053}" destId="{BF859EA0-DA08-4F70-90E0-4E5BEF0E0E9E}"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D7AEC2-6DF0-4D05-B162-B8CA827B8DA4}">
      <dsp:nvSpPr>
        <dsp:cNvPr id="0" name=""/>
        <dsp:cNvSpPr/>
      </dsp:nvSpPr>
      <dsp:spPr>
        <a:xfrm>
          <a:off x="2720" y="265555"/>
          <a:ext cx="1163643" cy="475200"/>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fr-CA" sz="1100" kern="1200"/>
            <a:t>1</a:t>
          </a:r>
          <a:r>
            <a:rPr lang="fr-CA" sz="1100" kern="1200" baseline="30000"/>
            <a:t>er</a:t>
          </a:r>
          <a:r>
            <a:rPr lang="fr-CA" sz="1100" kern="1200"/>
            <a:t> janv. 2024	</a:t>
          </a:r>
        </a:p>
      </dsp:txBody>
      <dsp:txXfrm>
        <a:off x="2720" y="265555"/>
        <a:ext cx="1163643" cy="316800"/>
      </dsp:txXfrm>
    </dsp:sp>
    <dsp:sp modelId="{C9F891C8-C439-4C89-96E0-0604BB025AC2}">
      <dsp:nvSpPr>
        <dsp:cNvPr id="0" name=""/>
        <dsp:cNvSpPr/>
      </dsp:nvSpPr>
      <dsp:spPr>
        <a:xfrm>
          <a:off x="159695" y="582355"/>
          <a:ext cx="1326366" cy="999938"/>
        </a:xfrm>
        <a:prstGeom prst="roundRect">
          <a:avLst>
            <a:gd name="adj" fmla="val 10000"/>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fr-CA" sz="1100" kern="1200"/>
            <a:t>Indexation régulière: 1,4 % 	</a:t>
          </a:r>
        </a:p>
      </dsp:txBody>
      <dsp:txXfrm>
        <a:off x="188982" y="611642"/>
        <a:ext cx="1267792" cy="941364"/>
      </dsp:txXfrm>
    </dsp:sp>
    <dsp:sp modelId="{73D0B764-E01E-4E5D-B0C4-5169F70FD81A}">
      <dsp:nvSpPr>
        <dsp:cNvPr id="0" name=""/>
        <dsp:cNvSpPr/>
      </dsp:nvSpPr>
      <dsp:spPr>
        <a:xfrm>
          <a:off x="1363107" y="279098"/>
          <a:ext cx="417098" cy="289713"/>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CA" sz="900" kern="1200"/>
        </a:p>
      </dsp:txBody>
      <dsp:txXfrm>
        <a:off x="1363107" y="337041"/>
        <a:ext cx="330184" cy="173827"/>
      </dsp:txXfrm>
    </dsp:sp>
    <dsp:sp modelId="{88A43D19-9CF6-45BA-974E-FF1FED649CA2}">
      <dsp:nvSpPr>
        <dsp:cNvPr id="0" name=""/>
        <dsp:cNvSpPr/>
      </dsp:nvSpPr>
      <dsp:spPr>
        <a:xfrm>
          <a:off x="1953341" y="265555"/>
          <a:ext cx="1163643" cy="475200"/>
        </a:xfrm>
        <a:prstGeom prst="roundRect">
          <a:avLst>
            <a:gd name="adj" fmla="val 10000"/>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fr-CA" sz="1100" kern="1200"/>
            <a:t>1</a:t>
          </a:r>
          <a:r>
            <a:rPr lang="fr-CA" sz="1100" kern="1200" baseline="30000"/>
            <a:t>er</a:t>
          </a:r>
          <a:r>
            <a:rPr lang="fr-CA" sz="1100" kern="1200"/>
            <a:t> juill. 2024	</a:t>
          </a:r>
        </a:p>
      </dsp:txBody>
      <dsp:txXfrm>
        <a:off x="1953341" y="265555"/>
        <a:ext cx="1163643" cy="316800"/>
      </dsp:txXfrm>
    </dsp:sp>
    <dsp:sp modelId="{C3916DD4-B87D-4F69-A218-488F1EBF8E20}">
      <dsp:nvSpPr>
        <dsp:cNvPr id="0" name=""/>
        <dsp:cNvSpPr/>
      </dsp:nvSpPr>
      <dsp:spPr>
        <a:xfrm>
          <a:off x="2080329" y="582355"/>
          <a:ext cx="1386341" cy="999938"/>
        </a:xfrm>
        <a:prstGeom prst="roundRect">
          <a:avLst>
            <a:gd name="adj" fmla="val 10000"/>
          </a:avLst>
        </a:prstGeom>
        <a:solidFill>
          <a:schemeClr val="lt1">
            <a:alpha val="90000"/>
            <a:hueOff val="0"/>
            <a:satOff val="0"/>
            <a:lumOff val="0"/>
            <a:alphaOff val="0"/>
          </a:schemeClr>
        </a:solidFill>
        <a:ln w="12700" cap="flat" cmpd="sng" algn="ctr">
          <a:solidFill>
            <a:schemeClr val="accent6">
              <a:shade val="80000"/>
              <a:hueOff val="160640"/>
              <a:satOff val="-6455"/>
              <a:lumOff val="138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fr-CA" sz="1100" kern="1200"/>
            <a:t>Décision du gouvernement de verser sa part ou non</a:t>
          </a:r>
        </a:p>
      </dsp:txBody>
      <dsp:txXfrm>
        <a:off x="2109616" y="611642"/>
        <a:ext cx="1327767" cy="941364"/>
      </dsp:txXfrm>
    </dsp:sp>
    <dsp:sp modelId="{AD787B4E-0D23-4F9D-B1C2-3D58C088E510}">
      <dsp:nvSpPr>
        <dsp:cNvPr id="0" name=""/>
        <dsp:cNvSpPr/>
      </dsp:nvSpPr>
      <dsp:spPr>
        <a:xfrm>
          <a:off x="3321225" y="279098"/>
          <a:ext cx="432991" cy="289713"/>
        </a:xfrm>
        <a:prstGeom prst="rightArrow">
          <a:avLst>
            <a:gd name="adj1" fmla="val 60000"/>
            <a:gd name="adj2" fmla="val 50000"/>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CA" sz="900" kern="1200"/>
        </a:p>
      </dsp:txBody>
      <dsp:txXfrm>
        <a:off x="3321225" y="337041"/>
        <a:ext cx="346077" cy="173827"/>
      </dsp:txXfrm>
    </dsp:sp>
    <dsp:sp modelId="{89656AF0-8295-4023-9B3E-3849663FE877}">
      <dsp:nvSpPr>
        <dsp:cNvPr id="0" name=""/>
        <dsp:cNvSpPr/>
      </dsp:nvSpPr>
      <dsp:spPr>
        <a:xfrm>
          <a:off x="3933949" y="265555"/>
          <a:ext cx="1163643" cy="475200"/>
        </a:xfrm>
        <a:prstGeom prst="roundRect">
          <a:avLst>
            <a:gd name="adj" fmla="val 10000"/>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fr-CA" sz="1100" kern="1200"/>
            <a:t>Vers août 2024</a:t>
          </a:r>
        </a:p>
      </dsp:txBody>
      <dsp:txXfrm>
        <a:off x="3933949" y="265555"/>
        <a:ext cx="1163643" cy="316800"/>
      </dsp:txXfrm>
    </dsp:sp>
    <dsp:sp modelId="{BF859EA0-DA08-4F70-90E0-4E5BEF0E0E9E}">
      <dsp:nvSpPr>
        <dsp:cNvPr id="0" name=""/>
        <dsp:cNvSpPr/>
      </dsp:nvSpPr>
      <dsp:spPr>
        <a:xfrm>
          <a:off x="4062636" y="582355"/>
          <a:ext cx="1382943" cy="999938"/>
        </a:xfrm>
        <a:prstGeom prst="roundRect">
          <a:avLst>
            <a:gd name="adj" fmla="val 10000"/>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fr-CA" sz="1100" kern="1200"/>
            <a:t>Indexation additionnelle: 08 % (rétroactive au 1er janv 2024</a:t>
          </a:r>
        </a:p>
      </dsp:txBody>
      <dsp:txXfrm>
        <a:off x="4091923" y="611642"/>
        <a:ext cx="1324369" cy="9413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6FC6-94C5-3C47-BC9C-5103BE29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Freire</dc:creator>
  <cp:keywords/>
  <dc:description/>
  <cp:lastModifiedBy>Chevalier michel</cp:lastModifiedBy>
  <cp:revision>2</cp:revision>
  <dcterms:created xsi:type="dcterms:W3CDTF">2023-11-25T16:33:00Z</dcterms:created>
  <dcterms:modified xsi:type="dcterms:W3CDTF">2023-11-25T16:33:00Z</dcterms:modified>
</cp:coreProperties>
</file>